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B22C3" w14:textId="18EF878D" w:rsidR="002B758A" w:rsidRPr="001808C6" w:rsidRDefault="002B758A" w:rsidP="001808C6">
      <w:pPr>
        <w:spacing w:line="360" w:lineRule="auto"/>
        <w:jc w:val="both"/>
        <w:rPr>
          <w:rFonts w:cstheme="minorHAnsi"/>
          <w:b/>
          <w:bCs/>
          <w:color w:val="002060"/>
          <w:sz w:val="20"/>
          <w:szCs w:val="20"/>
          <w:u w:val="single"/>
        </w:rPr>
      </w:pPr>
      <w:r w:rsidRPr="001808C6">
        <w:rPr>
          <w:rFonts w:cstheme="minorHAnsi"/>
          <w:b/>
          <w:bCs/>
          <w:color w:val="002060"/>
          <w:sz w:val="20"/>
          <w:szCs w:val="20"/>
          <w:u w:val="single"/>
        </w:rPr>
        <w:t xml:space="preserve">Macroeconomic Review </w:t>
      </w:r>
    </w:p>
    <w:p w14:paraId="618BD452" w14:textId="63B25E2B" w:rsidR="006D611E" w:rsidRPr="00A12EE7" w:rsidRDefault="006D611E" w:rsidP="006D611E">
      <w:pPr>
        <w:pBdr>
          <w:bottom w:val="single" w:sz="4" w:space="1" w:color="auto"/>
        </w:pBdr>
        <w:spacing w:line="360" w:lineRule="auto"/>
        <w:jc w:val="both"/>
        <w:rPr>
          <w:rFonts w:cstheme="minorHAnsi"/>
          <w:b/>
          <w:color w:val="000000" w:themeColor="text1"/>
          <w:sz w:val="20"/>
          <w:szCs w:val="20"/>
        </w:rPr>
      </w:pPr>
      <w:r w:rsidRPr="00575559">
        <w:rPr>
          <w:rFonts w:cstheme="minorHAnsi"/>
          <w:b/>
          <w:color w:val="000000" w:themeColor="text1"/>
          <w:sz w:val="20"/>
          <w:szCs w:val="20"/>
          <w:u w:val="single"/>
        </w:rPr>
        <w:t xml:space="preserve">Nigeria’s </w:t>
      </w:r>
      <w:r w:rsidR="002B0F03">
        <w:rPr>
          <w:rFonts w:cstheme="minorHAnsi"/>
          <w:b/>
          <w:color w:val="000000" w:themeColor="text1"/>
          <w:sz w:val="20"/>
          <w:szCs w:val="20"/>
          <w:u w:val="single"/>
        </w:rPr>
        <w:t>Inflation</w:t>
      </w:r>
      <w:r w:rsidRPr="00575559">
        <w:rPr>
          <w:rFonts w:cstheme="minorHAnsi"/>
          <w:b/>
          <w:color w:val="000000" w:themeColor="text1"/>
          <w:sz w:val="20"/>
          <w:szCs w:val="20"/>
          <w:u w:val="single"/>
        </w:rPr>
        <w:t xml:space="preserve"> </w:t>
      </w:r>
      <w:r w:rsidR="0022408A">
        <w:rPr>
          <w:rFonts w:cstheme="minorHAnsi"/>
          <w:b/>
          <w:color w:val="000000" w:themeColor="text1"/>
          <w:sz w:val="20"/>
          <w:szCs w:val="20"/>
        </w:rPr>
        <w:t>–</w:t>
      </w:r>
      <w:r>
        <w:rPr>
          <w:rFonts w:cstheme="minorHAnsi"/>
          <w:b/>
          <w:color w:val="000000" w:themeColor="text1"/>
          <w:sz w:val="20"/>
          <w:szCs w:val="20"/>
        </w:rPr>
        <w:t xml:space="preserve"> </w:t>
      </w:r>
      <w:r w:rsidR="00C07772" w:rsidRPr="00C07772">
        <w:rPr>
          <w:b/>
          <w:bCs/>
          <w:i/>
          <w:iCs/>
          <w:color w:val="595959" w:themeColor="text1" w:themeTint="A6"/>
          <w:sz w:val="20"/>
          <w:szCs w:val="20"/>
        </w:rPr>
        <w:t xml:space="preserve">Reflecting </w:t>
      </w:r>
      <w:r w:rsidR="00C07772">
        <w:rPr>
          <w:b/>
          <w:bCs/>
          <w:i/>
          <w:iCs/>
          <w:color w:val="595959" w:themeColor="text1" w:themeTint="A6"/>
          <w:sz w:val="20"/>
          <w:szCs w:val="20"/>
        </w:rPr>
        <w:t>t</w:t>
      </w:r>
      <w:r w:rsidR="00C07772" w:rsidRPr="00C07772">
        <w:rPr>
          <w:b/>
          <w:bCs/>
          <w:i/>
          <w:iCs/>
          <w:color w:val="595959" w:themeColor="text1" w:themeTint="A6"/>
          <w:sz w:val="20"/>
          <w:szCs w:val="20"/>
        </w:rPr>
        <w:t xml:space="preserve">he </w:t>
      </w:r>
      <w:r w:rsidR="00C07772">
        <w:rPr>
          <w:b/>
          <w:bCs/>
          <w:i/>
          <w:iCs/>
          <w:color w:val="595959" w:themeColor="text1" w:themeTint="A6"/>
          <w:sz w:val="20"/>
          <w:szCs w:val="20"/>
        </w:rPr>
        <w:t>k</w:t>
      </w:r>
      <w:r w:rsidR="00C07772" w:rsidRPr="00C07772">
        <w:rPr>
          <w:b/>
          <w:bCs/>
          <w:i/>
          <w:iCs/>
          <w:color w:val="595959" w:themeColor="text1" w:themeTint="A6"/>
          <w:sz w:val="20"/>
          <w:szCs w:val="20"/>
        </w:rPr>
        <w:t xml:space="preserve">nown </w:t>
      </w:r>
      <w:r w:rsidR="001E4E0A">
        <w:rPr>
          <w:b/>
          <w:bCs/>
          <w:i/>
          <w:iCs/>
          <w:color w:val="595959" w:themeColor="text1" w:themeTint="A6"/>
          <w:sz w:val="20"/>
          <w:szCs w:val="20"/>
        </w:rPr>
        <w:t>r</w:t>
      </w:r>
      <w:r w:rsidR="001E4E0A" w:rsidRPr="00C07772">
        <w:rPr>
          <w:b/>
          <w:bCs/>
          <w:i/>
          <w:iCs/>
          <w:color w:val="595959" w:themeColor="text1" w:themeTint="A6"/>
          <w:sz w:val="20"/>
          <w:szCs w:val="20"/>
        </w:rPr>
        <w:t>eality.</w:t>
      </w:r>
    </w:p>
    <w:p w14:paraId="7FC70D7C" w14:textId="799D94DA" w:rsidR="00ED6FB9" w:rsidRDefault="001D4CF5" w:rsidP="007A75C5">
      <w:pPr>
        <w:pBdr>
          <w:bottom w:val="single" w:sz="4" w:space="1" w:color="auto"/>
        </w:pBdr>
        <w:spacing w:line="360" w:lineRule="auto"/>
        <w:jc w:val="both"/>
        <w:rPr>
          <w:rFonts w:cstheme="minorHAnsi"/>
          <w:sz w:val="18"/>
          <w:szCs w:val="18"/>
        </w:rPr>
      </w:pPr>
      <w:r w:rsidRPr="001D4CF5">
        <w:rPr>
          <w:rFonts w:cstheme="minorHAnsi"/>
          <w:sz w:val="18"/>
          <w:szCs w:val="18"/>
        </w:rPr>
        <w:t xml:space="preserve">Nigeria’s inflation for March 2023 </w:t>
      </w:r>
      <w:r w:rsidR="003F41F7">
        <w:rPr>
          <w:rFonts w:cstheme="minorHAnsi"/>
          <w:sz w:val="18"/>
          <w:szCs w:val="18"/>
        </w:rPr>
        <w:t>rose</w:t>
      </w:r>
      <w:r w:rsidR="003F41F7" w:rsidRPr="001D4CF5">
        <w:rPr>
          <w:rFonts w:cstheme="minorHAnsi"/>
          <w:sz w:val="18"/>
          <w:szCs w:val="18"/>
        </w:rPr>
        <w:t xml:space="preserve"> </w:t>
      </w:r>
      <w:r w:rsidRPr="001D4CF5">
        <w:rPr>
          <w:rFonts w:cstheme="minorHAnsi"/>
          <w:sz w:val="18"/>
          <w:szCs w:val="18"/>
        </w:rPr>
        <w:t>to 22.04% Y-o-Y (Est. +21.80%), an increase of c.0.13% from 21.91% Y-o-Y recorded in February 2023. Moreso, headline inflation printed higher at 1.86% M-o-M in March 2023 vs 1.71% recorded in February 2023. Similarly, food inflation jumped to 24.45% from 24.35% recorded in February 2023 while core inflation also amplified to 19.86% in March, compared with 18.84% in February 2023</w:t>
      </w:r>
      <w:r w:rsidR="00ED6FB9">
        <w:rPr>
          <w:rFonts w:cstheme="minorHAnsi"/>
          <w:sz w:val="18"/>
          <w:szCs w:val="18"/>
        </w:rPr>
        <w:t>.</w:t>
      </w:r>
    </w:p>
    <w:p w14:paraId="14CBD3ED" w14:textId="12DEC6A3" w:rsidR="004D6E43" w:rsidRPr="004D6E43" w:rsidRDefault="004D6E43" w:rsidP="004D6E43">
      <w:pPr>
        <w:pBdr>
          <w:bottom w:val="single" w:sz="4" w:space="1" w:color="auto"/>
        </w:pBdr>
        <w:spacing w:line="360" w:lineRule="auto"/>
        <w:jc w:val="both"/>
        <w:rPr>
          <w:rFonts w:cstheme="minorHAnsi"/>
          <w:sz w:val="18"/>
          <w:szCs w:val="18"/>
        </w:rPr>
      </w:pPr>
      <w:r>
        <w:rPr>
          <w:rFonts w:cstheme="minorHAnsi"/>
          <w:sz w:val="18"/>
          <w:szCs w:val="18"/>
        </w:rPr>
        <w:t>Below is</w:t>
      </w:r>
      <w:r w:rsidRPr="004D6E43">
        <w:rPr>
          <w:rFonts w:cstheme="minorHAnsi"/>
          <w:sz w:val="18"/>
          <w:szCs w:val="18"/>
        </w:rPr>
        <w:t xml:space="preserve"> a summary of March 2023 Inflation report:</w:t>
      </w:r>
    </w:p>
    <w:p w14:paraId="1F9FCA85" w14:textId="77777777" w:rsidR="002E7FCC" w:rsidRPr="002E7FCC" w:rsidRDefault="002E7FCC" w:rsidP="002E7FCC">
      <w:pPr>
        <w:pStyle w:val="ListParagraph"/>
        <w:numPr>
          <w:ilvl w:val="0"/>
          <w:numId w:val="10"/>
        </w:numPr>
        <w:pBdr>
          <w:bottom w:val="single" w:sz="4" w:space="1" w:color="auto"/>
        </w:pBdr>
        <w:spacing w:line="360" w:lineRule="auto"/>
        <w:jc w:val="both"/>
        <w:rPr>
          <w:rFonts w:cstheme="minorHAnsi"/>
          <w:sz w:val="18"/>
          <w:szCs w:val="18"/>
        </w:rPr>
      </w:pPr>
      <w:r w:rsidRPr="002E7FCC">
        <w:rPr>
          <w:rFonts w:cstheme="minorHAnsi"/>
          <w:sz w:val="18"/>
          <w:szCs w:val="18"/>
        </w:rPr>
        <w:t xml:space="preserve">On a monthly basis, the headline index grew by 1.86% in March (vs 1.71% in February) </w:t>
      </w:r>
    </w:p>
    <w:p w14:paraId="502912ED" w14:textId="7B68158A" w:rsidR="002E7FCC" w:rsidRPr="002E7FCC" w:rsidRDefault="002E7FCC" w:rsidP="002E7FCC">
      <w:pPr>
        <w:pStyle w:val="ListParagraph"/>
        <w:numPr>
          <w:ilvl w:val="0"/>
          <w:numId w:val="10"/>
        </w:numPr>
        <w:pBdr>
          <w:bottom w:val="single" w:sz="4" w:space="1" w:color="auto"/>
        </w:pBdr>
        <w:spacing w:line="360" w:lineRule="auto"/>
        <w:jc w:val="both"/>
        <w:rPr>
          <w:rFonts w:cstheme="minorHAnsi"/>
          <w:sz w:val="18"/>
          <w:szCs w:val="18"/>
        </w:rPr>
      </w:pPr>
      <w:r w:rsidRPr="002E7FCC">
        <w:rPr>
          <w:rFonts w:cstheme="minorHAnsi"/>
          <w:sz w:val="18"/>
          <w:szCs w:val="18"/>
        </w:rPr>
        <w:t xml:space="preserve">The core index grew by 1.84% M-o-M in March vs. 1.06% in </w:t>
      </w:r>
      <w:proofErr w:type="gramStart"/>
      <w:r w:rsidRPr="002E7FCC">
        <w:rPr>
          <w:rFonts w:cstheme="minorHAnsi"/>
          <w:sz w:val="18"/>
          <w:szCs w:val="18"/>
        </w:rPr>
        <w:t>February,  while</w:t>
      </w:r>
      <w:proofErr w:type="gramEnd"/>
      <w:r w:rsidRPr="002E7FCC">
        <w:rPr>
          <w:rFonts w:cstheme="minorHAnsi"/>
          <w:sz w:val="18"/>
          <w:szCs w:val="18"/>
        </w:rPr>
        <w:t xml:space="preserve"> the food sub-index grew by 2.07% M-o-M compared to 1.90% in February. </w:t>
      </w:r>
    </w:p>
    <w:p w14:paraId="52C7FA4B" w14:textId="5B697EC0" w:rsidR="002E7FCC" w:rsidRPr="002E7FCC" w:rsidRDefault="002E7FCC" w:rsidP="002E7FCC">
      <w:pPr>
        <w:pStyle w:val="ListParagraph"/>
        <w:numPr>
          <w:ilvl w:val="0"/>
          <w:numId w:val="10"/>
        </w:numPr>
        <w:pBdr>
          <w:bottom w:val="single" w:sz="4" w:space="1" w:color="auto"/>
        </w:pBdr>
        <w:spacing w:line="360" w:lineRule="auto"/>
        <w:jc w:val="both"/>
        <w:rPr>
          <w:rFonts w:cstheme="minorHAnsi"/>
          <w:sz w:val="18"/>
          <w:szCs w:val="18"/>
        </w:rPr>
      </w:pPr>
      <w:r w:rsidRPr="002E7FCC">
        <w:rPr>
          <w:rFonts w:cstheme="minorHAnsi"/>
          <w:sz w:val="18"/>
          <w:szCs w:val="18"/>
        </w:rPr>
        <w:t>The urban inflation rate rose to 23.07% Y-o-Y (vs 22.78% Y-o-Y in February 2023).</w:t>
      </w:r>
    </w:p>
    <w:p w14:paraId="6A8DEAEF" w14:textId="51263E7C" w:rsidR="004D6E43" w:rsidRPr="002E7FCC" w:rsidRDefault="002E7FCC" w:rsidP="002E7FCC">
      <w:pPr>
        <w:pStyle w:val="ListParagraph"/>
        <w:numPr>
          <w:ilvl w:val="0"/>
          <w:numId w:val="10"/>
        </w:numPr>
        <w:pBdr>
          <w:bottom w:val="single" w:sz="4" w:space="1" w:color="auto"/>
        </w:pBdr>
        <w:spacing w:line="360" w:lineRule="auto"/>
        <w:jc w:val="both"/>
        <w:rPr>
          <w:rFonts w:cstheme="minorHAnsi"/>
          <w:sz w:val="18"/>
          <w:szCs w:val="18"/>
        </w:rPr>
      </w:pPr>
      <w:r w:rsidRPr="002E7FCC">
        <w:rPr>
          <w:rFonts w:cstheme="minorHAnsi"/>
          <w:sz w:val="18"/>
          <w:szCs w:val="18"/>
        </w:rPr>
        <w:t>The rural inflation rate was printed at 21.09% Y-o-Y (vs 21.10% Y-o-Y in February 2023).</w:t>
      </w:r>
    </w:p>
    <w:p w14:paraId="1C3994A0" w14:textId="77777777" w:rsidR="007518D4" w:rsidRDefault="007518D4" w:rsidP="00BE7FAE">
      <w:pPr>
        <w:pBdr>
          <w:bottom w:val="single" w:sz="4" w:space="1" w:color="auto"/>
        </w:pBdr>
        <w:spacing w:line="360" w:lineRule="auto"/>
        <w:jc w:val="both"/>
        <w:rPr>
          <w:rFonts w:cstheme="minorHAnsi"/>
          <w:sz w:val="18"/>
          <w:szCs w:val="18"/>
        </w:rPr>
      </w:pPr>
    </w:p>
    <w:p w14:paraId="613B86C3" w14:textId="676B58C6" w:rsidR="006C5F68" w:rsidRPr="00BE7FAE" w:rsidRDefault="006C5F68" w:rsidP="00BE7FAE">
      <w:pPr>
        <w:pBdr>
          <w:bottom w:val="single" w:sz="4" w:space="1" w:color="auto"/>
        </w:pBdr>
        <w:spacing w:line="360" w:lineRule="auto"/>
        <w:jc w:val="both"/>
        <w:rPr>
          <w:rFonts w:cstheme="minorHAnsi"/>
          <w:sz w:val="18"/>
          <w:szCs w:val="18"/>
        </w:rPr>
      </w:pPr>
      <w:r>
        <w:rPr>
          <w:noProof/>
        </w:rPr>
        <w:drawing>
          <wp:anchor distT="0" distB="0" distL="114300" distR="114300" simplePos="0" relativeHeight="251741189" behindDoc="0" locked="0" layoutInCell="1" allowOverlap="1" wp14:anchorId="0611203A" wp14:editId="281EBCEC">
            <wp:simplePos x="0" y="0"/>
            <wp:positionH relativeFrom="margin">
              <wp:align>left</wp:align>
            </wp:positionH>
            <wp:positionV relativeFrom="paragraph">
              <wp:posOffset>349885</wp:posOffset>
            </wp:positionV>
            <wp:extent cx="6290310" cy="2743200"/>
            <wp:effectExtent l="0" t="0" r="0" b="0"/>
            <wp:wrapSquare wrapText="bothSides"/>
            <wp:docPr id="18" name="Chart 18">
              <a:extLst xmlns:a="http://schemas.openxmlformats.org/drawingml/2006/main">
                <a:ext uri="{FF2B5EF4-FFF2-40B4-BE49-F238E27FC236}">
                  <a16:creationId xmlns:a16="http://schemas.microsoft.com/office/drawing/2014/main" id="{93785336-A885-D445-4A55-30C3BE892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r w:rsidR="00057626" w:rsidRPr="006B7F58">
        <w:rPr>
          <w:rFonts w:cstheme="minorHAnsi"/>
          <w:b/>
          <w:bCs/>
          <w:sz w:val="18"/>
          <w:szCs w:val="18"/>
        </w:rPr>
        <w:t xml:space="preserve">Chart </w:t>
      </w:r>
      <w:r w:rsidR="00BE7FAE">
        <w:rPr>
          <w:rFonts w:cstheme="minorHAnsi"/>
          <w:b/>
          <w:bCs/>
          <w:sz w:val="18"/>
          <w:szCs w:val="18"/>
        </w:rPr>
        <w:t>1</w:t>
      </w:r>
      <w:r w:rsidR="00057626" w:rsidRPr="006B7F58">
        <w:rPr>
          <w:rFonts w:cstheme="minorHAnsi"/>
          <w:b/>
          <w:bCs/>
          <w:sz w:val="18"/>
          <w:szCs w:val="18"/>
        </w:rPr>
        <w:t xml:space="preserve"> – </w:t>
      </w:r>
      <w:r w:rsidR="00057626">
        <w:rPr>
          <w:rFonts w:cstheme="minorHAnsi"/>
          <w:b/>
          <w:bCs/>
          <w:sz w:val="18"/>
          <w:szCs w:val="18"/>
        </w:rPr>
        <w:t xml:space="preserve">Headline, Food and Core Inflation </w:t>
      </w:r>
    </w:p>
    <w:p w14:paraId="2EEAA0F6" w14:textId="788D44AE" w:rsidR="00057626" w:rsidRDefault="00057626" w:rsidP="00057626">
      <w:pPr>
        <w:pBdr>
          <w:top w:val="single" w:sz="4" w:space="1" w:color="auto"/>
        </w:pBdr>
        <w:spacing w:line="360" w:lineRule="auto"/>
        <w:jc w:val="both"/>
        <w:rPr>
          <w:rFonts w:cstheme="minorHAnsi"/>
          <w:b/>
          <w:bCs/>
          <w:sz w:val="18"/>
          <w:szCs w:val="18"/>
        </w:rPr>
      </w:pPr>
      <w:r>
        <w:rPr>
          <w:rFonts w:cstheme="minorHAnsi"/>
          <w:b/>
          <w:bCs/>
          <w:sz w:val="18"/>
          <w:szCs w:val="18"/>
        </w:rPr>
        <w:t>S</w:t>
      </w:r>
      <w:r w:rsidRPr="00640EE1">
        <w:rPr>
          <w:rFonts w:cstheme="minorHAnsi"/>
          <w:b/>
          <w:bCs/>
          <w:sz w:val="18"/>
          <w:szCs w:val="18"/>
        </w:rPr>
        <w:t xml:space="preserve">ource: </w:t>
      </w:r>
      <w:r>
        <w:rPr>
          <w:rFonts w:cstheme="minorHAnsi"/>
          <w:b/>
          <w:bCs/>
          <w:sz w:val="18"/>
          <w:szCs w:val="18"/>
        </w:rPr>
        <w:t xml:space="preserve">NBS, </w:t>
      </w:r>
      <w:r w:rsidRPr="00640EE1">
        <w:rPr>
          <w:rFonts w:cstheme="minorHAnsi"/>
          <w:b/>
          <w:bCs/>
          <w:sz w:val="18"/>
          <w:szCs w:val="18"/>
        </w:rPr>
        <w:t>AIICO Capital</w:t>
      </w:r>
    </w:p>
    <w:p w14:paraId="4EEF7EFA" w14:textId="12E2D81C" w:rsidR="00055BAF" w:rsidRDefault="00B850F8" w:rsidP="00A12EE7">
      <w:pPr>
        <w:pBdr>
          <w:top w:val="single" w:sz="4" w:space="1" w:color="auto"/>
        </w:pBdr>
        <w:spacing w:line="360" w:lineRule="auto"/>
        <w:jc w:val="both"/>
        <w:rPr>
          <w:rFonts w:cstheme="minorHAnsi"/>
          <w:sz w:val="18"/>
          <w:szCs w:val="18"/>
        </w:rPr>
      </w:pPr>
      <w:bookmarkStart w:id="0" w:name="_Hlk129007819"/>
      <w:r w:rsidRPr="00F36964">
        <w:rPr>
          <w:rFonts w:cstheme="minorHAnsi"/>
          <w:b/>
          <w:color w:val="000000" w:themeColor="text1"/>
          <w:sz w:val="20"/>
          <w:szCs w:val="20"/>
          <w:u w:val="single"/>
        </w:rPr>
        <w:t>Outlook:</w:t>
      </w:r>
      <w:r>
        <w:rPr>
          <w:rFonts w:cstheme="minorHAnsi"/>
          <w:b/>
          <w:color w:val="000000" w:themeColor="text1"/>
          <w:sz w:val="20"/>
          <w:szCs w:val="20"/>
        </w:rPr>
        <w:t xml:space="preserve"> </w:t>
      </w:r>
      <w:r w:rsidR="001E4E0A">
        <w:rPr>
          <w:rFonts w:cstheme="minorHAnsi"/>
          <w:sz w:val="18"/>
          <w:szCs w:val="18"/>
        </w:rPr>
        <w:t>G</w:t>
      </w:r>
      <w:r w:rsidR="001E4E0A" w:rsidRPr="001E4E0A">
        <w:rPr>
          <w:rFonts w:cstheme="minorHAnsi"/>
          <w:sz w:val="18"/>
          <w:szCs w:val="18"/>
        </w:rPr>
        <w:t>iven the existing inflationary pressures, that is, the high cost of fuel, soaring exchange rate and regional demand-supply imbalances, we expect the rising pace of inflation to extend further in the next reading</w:t>
      </w:r>
      <w:r w:rsidR="00967C6C">
        <w:rPr>
          <w:rFonts w:cstheme="minorHAnsi"/>
          <w:sz w:val="18"/>
          <w:szCs w:val="18"/>
        </w:rPr>
        <w:t>.</w:t>
      </w:r>
    </w:p>
    <w:bookmarkEnd w:id="0"/>
    <w:p w14:paraId="26770196" w14:textId="77777777" w:rsidR="007518D4" w:rsidRDefault="007518D4" w:rsidP="00A12EE7">
      <w:pPr>
        <w:pBdr>
          <w:top w:val="single" w:sz="4" w:space="1" w:color="auto"/>
        </w:pBdr>
        <w:spacing w:line="360" w:lineRule="auto"/>
        <w:jc w:val="both"/>
        <w:rPr>
          <w:rFonts w:cstheme="minorHAnsi"/>
          <w:b/>
          <w:color w:val="000000" w:themeColor="text1"/>
          <w:sz w:val="20"/>
          <w:szCs w:val="20"/>
        </w:rPr>
      </w:pPr>
    </w:p>
    <w:p w14:paraId="75924CC8" w14:textId="1419379B" w:rsidR="00DB60BF" w:rsidRPr="00F36964" w:rsidRDefault="00DB60BF" w:rsidP="00A12EE7">
      <w:pPr>
        <w:pBdr>
          <w:top w:val="single" w:sz="4" w:space="1" w:color="auto"/>
        </w:pBdr>
        <w:spacing w:line="360" w:lineRule="auto"/>
        <w:jc w:val="both"/>
        <w:rPr>
          <w:rFonts w:cstheme="minorHAnsi"/>
          <w:b/>
          <w:bCs/>
          <w:color w:val="002060"/>
          <w:sz w:val="20"/>
          <w:szCs w:val="20"/>
          <w:u w:val="single"/>
        </w:rPr>
      </w:pPr>
      <w:r w:rsidRPr="00F36964">
        <w:rPr>
          <w:rFonts w:cstheme="minorHAnsi"/>
          <w:b/>
          <w:bCs/>
          <w:color w:val="002060"/>
          <w:sz w:val="20"/>
          <w:szCs w:val="20"/>
          <w:u w:val="single"/>
        </w:rPr>
        <w:lastRenderedPageBreak/>
        <w:t xml:space="preserve">Fixed Income Market </w:t>
      </w:r>
      <w:r w:rsidR="00A8438D" w:rsidRPr="00F36964">
        <w:rPr>
          <w:rFonts w:cstheme="minorHAnsi"/>
          <w:b/>
          <w:bCs/>
          <w:color w:val="002060"/>
          <w:sz w:val="20"/>
          <w:szCs w:val="20"/>
          <w:u w:val="single"/>
        </w:rPr>
        <w:t>Review and Outlook</w:t>
      </w:r>
    </w:p>
    <w:p w14:paraId="78ADC7AA" w14:textId="235CBC79" w:rsidR="00444F17" w:rsidRPr="00F36964" w:rsidRDefault="00444F17" w:rsidP="0046270F">
      <w:pPr>
        <w:spacing w:line="360" w:lineRule="auto"/>
        <w:jc w:val="both"/>
        <w:rPr>
          <w:rFonts w:cstheme="minorHAnsi"/>
          <w:b/>
          <w:color w:val="000000" w:themeColor="text1"/>
          <w:sz w:val="20"/>
          <w:szCs w:val="20"/>
          <w:u w:val="single"/>
        </w:rPr>
      </w:pPr>
      <w:r w:rsidRPr="00F36964">
        <w:rPr>
          <w:b/>
          <w:bCs/>
          <w:color w:val="000000" w:themeColor="text1"/>
          <w:sz w:val="20"/>
          <w:szCs w:val="20"/>
          <w:u w:val="single"/>
        </w:rPr>
        <w:t>Overview</w:t>
      </w:r>
    </w:p>
    <w:p w14:paraId="78485C6D" w14:textId="77777777" w:rsidR="00782C97" w:rsidRPr="00782C97" w:rsidRDefault="00782C97" w:rsidP="00782C97">
      <w:pPr>
        <w:pBdr>
          <w:bottom w:val="single" w:sz="4" w:space="1" w:color="auto"/>
        </w:pBdr>
        <w:spacing w:line="360" w:lineRule="auto"/>
        <w:jc w:val="both"/>
        <w:rPr>
          <w:rFonts w:cstheme="minorHAnsi"/>
          <w:sz w:val="18"/>
          <w:szCs w:val="18"/>
        </w:rPr>
      </w:pPr>
      <w:r w:rsidRPr="00782C97">
        <w:rPr>
          <w:rFonts w:cstheme="minorHAnsi"/>
          <w:sz w:val="18"/>
          <w:szCs w:val="18"/>
        </w:rPr>
        <w:t xml:space="preserve">The extended period of sparing system liquidity in </w:t>
      </w:r>
      <w:proofErr w:type="gramStart"/>
      <w:r w:rsidRPr="00782C97">
        <w:rPr>
          <w:rFonts w:cstheme="minorHAnsi"/>
          <w:sz w:val="18"/>
          <w:szCs w:val="18"/>
        </w:rPr>
        <w:t>April,</w:t>
      </w:r>
      <w:proofErr w:type="gramEnd"/>
      <w:r w:rsidRPr="00782C97">
        <w:rPr>
          <w:rFonts w:cstheme="minorHAnsi"/>
          <w:sz w:val="18"/>
          <w:szCs w:val="18"/>
        </w:rPr>
        <w:t xml:space="preserve"> drove a mixed to bearish theme in the local fixed income market, as demand dropped significantly and executed trades were literally few and far between. However, liquidity influx in the latter part of the month spurred buyside interest across the treasury bills and FGN bonds market.</w:t>
      </w:r>
    </w:p>
    <w:p w14:paraId="131893B5" w14:textId="0B0EC028" w:rsidR="00EB648C" w:rsidRDefault="00782C97" w:rsidP="00782C97">
      <w:pPr>
        <w:pBdr>
          <w:bottom w:val="single" w:sz="4" w:space="1" w:color="auto"/>
        </w:pBdr>
        <w:spacing w:line="360" w:lineRule="auto"/>
        <w:jc w:val="both"/>
        <w:rPr>
          <w:rFonts w:cstheme="minorHAnsi"/>
          <w:sz w:val="18"/>
          <w:szCs w:val="18"/>
        </w:rPr>
      </w:pPr>
      <w:r w:rsidRPr="00782C97">
        <w:rPr>
          <w:rFonts w:cstheme="minorHAnsi"/>
          <w:sz w:val="18"/>
          <w:szCs w:val="18"/>
        </w:rPr>
        <w:t>The Eurobond space also traded mixed sentiment amid US inflation and GDP data releases. The discussions around OPEC+ production cuts also supported higher bond prices in Nigeria and Angola</w:t>
      </w:r>
      <w:r w:rsidR="00C71A36">
        <w:rPr>
          <w:rFonts w:cstheme="minorHAnsi"/>
          <w:sz w:val="18"/>
          <w:szCs w:val="18"/>
        </w:rPr>
        <w:t>.</w:t>
      </w:r>
    </w:p>
    <w:p w14:paraId="2CC0486D" w14:textId="63918324" w:rsidR="00DA794E" w:rsidRPr="00F15D27" w:rsidRDefault="00747ECA" w:rsidP="00F15D27">
      <w:pPr>
        <w:pBdr>
          <w:bottom w:val="single" w:sz="4" w:space="1" w:color="auto"/>
        </w:pBdr>
        <w:spacing w:line="360" w:lineRule="auto"/>
        <w:jc w:val="both"/>
        <w:rPr>
          <w:rFonts w:ascii="Calibri" w:eastAsia="Calibri" w:hAnsi="Calibri" w:cs="Calibri"/>
          <w:sz w:val="18"/>
          <w:szCs w:val="18"/>
        </w:rPr>
      </w:pPr>
      <w:r>
        <w:rPr>
          <w:noProof/>
        </w:rPr>
        <w:drawing>
          <wp:anchor distT="0" distB="0" distL="114300" distR="114300" simplePos="0" relativeHeight="251746309" behindDoc="0" locked="0" layoutInCell="1" allowOverlap="1" wp14:anchorId="3F78996B" wp14:editId="093AB821">
            <wp:simplePos x="0" y="0"/>
            <wp:positionH relativeFrom="margin">
              <wp:align>left</wp:align>
            </wp:positionH>
            <wp:positionV relativeFrom="paragraph">
              <wp:posOffset>311150</wp:posOffset>
            </wp:positionV>
            <wp:extent cx="5844540" cy="1744980"/>
            <wp:effectExtent l="0" t="0" r="3810" b="7620"/>
            <wp:wrapSquare wrapText="bothSides"/>
            <wp:docPr id="326139592" name="Chart 1">
              <a:extLst xmlns:a="http://schemas.openxmlformats.org/drawingml/2006/main">
                <a:ext uri="{FF2B5EF4-FFF2-40B4-BE49-F238E27FC236}">
                  <a16:creationId xmlns:a16="http://schemas.microsoft.com/office/drawing/2014/main" id="{894A970E-A68D-4957-E532-B90B7AFCE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C63135" w:rsidRPr="72409F61">
        <w:rPr>
          <w:b/>
          <w:bCs/>
          <w:sz w:val="18"/>
          <w:szCs w:val="18"/>
        </w:rPr>
        <w:t xml:space="preserve">Chart </w:t>
      </w:r>
      <w:r w:rsidR="00AC2791">
        <w:rPr>
          <w:b/>
          <w:bCs/>
          <w:sz w:val="18"/>
          <w:szCs w:val="18"/>
        </w:rPr>
        <w:t>2</w:t>
      </w:r>
      <w:r w:rsidR="00C63135" w:rsidRPr="72409F61">
        <w:rPr>
          <w:b/>
          <w:bCs/>
          <w:sz w:val="18"/>
          <w:szCs w:val="18"/>
        </w:rPr>
        <w:t xml:space="preserve"> – Nigerian Sovereign Yield Curve</w:t>
      </w:r>
    </w:p>
    <w:p w14:paraId="49D6C392" w14:textId="3862341C" w:rsidR="00747ECA" w:rsidRDefault="00747ECA" w:rsidP="003505E6">
      <w:pPr>
        <w:spacing w:line="360" w:lineRule="auto"/>
        <w:jc w:val="both"/>
        <w:rPr>
          <w:rFonts w:cstheme="minorHAnsi"/>
          <w:b/>
          <w:bCs/>
          <w:sz w:val="18"/>
          <w:szCs w:val="18"/>
        </w:rPr>
      </w:pPr>
    </w:p>
    <w:p w14:paraId="4E92DDFD" w14:textId="77777777" w:rsidR="00747ECA" w:rsidRDefault="00747ECA" w:rsidP="003505E6">
      <w:pPr>
        <w:spacing w:line="360" w:lineRule="auto"/>
        <w:jc w:val="both"/>
        <w:rPr>
          <w:rFonts w:cstheme="minorHAnsi"/>
          <w:b/>
          <w:bCs/>
          <w:sz w:val="18"/>
          <w:szCs w:val="18"/>
        </w:rPr>
      </w:pPr>
    </w:p>
    <w:p w14:paraId="090A5C26" w14:textId="77777777" w:rsidR="00747ECA" w:rsidRDefault="00747ECA" w:rsidP="003505E6">
      <w:pPr>
        <w:spacing w:line="360" w:lineRule="auto"/>
        <w:jc w:val="both"/>
        <w:rPr>
          <w:rFonts w:cstheme="minorHAnsi"/>
          <w:b/>
          <w:bCs/>
          <w:sz w:val="18"/>
          <w:szCs w:val="18"/>
        </w:rPr>
      </w:pPr>
    </w:p>
    <w:p w14:paraId="0CD89F98" w14:textId="77777777" w:rsidR="00747ECA" w:rsidRDefault="00747ECA" w:rsidP="003505E6">
      <w:pPr>
        <w:spacing w:line="360" w:lineRule="auto"/>
        <w:jc w:val="both"/>
        <w:rPr>
          <w:rFonts w:cstheme="minorHAnsi"/>
          <w:b/>
          <w:bCs/>
          <w:sz w:val="18"/>
          <w:szCs w:val="18"/>
        </w:rPr>
      </w:pPr>
    </w:p>
    <w:p w14:paraId="5F092E0F" w14:textId="77777777" w:rsidR="00747ECA" w:rsidRDefault="00747ECA" w:rsidP="003505E6">
      <w:pPr>
        <w:spacing w:line="360" w:lineRule="auto"/>
        <w:jc w:val="both"/>
        <w:rPr>
          <w:rFonts w:cstheme="minorHAnsi"/>
          <w:b/>
          <w:bCs/>
          <w:sz w:val="18"/>
          <w:szCs w:val="18"/>
        </w:rPr>
      </w:pPr>
    </w:p>
    <w:p w14:paraId="67C7F546" w14:textId="77777777" w:rsidR="00747ECA" w:rsidRDefault="00747ECA" w:rsidP="003505E6">
      <w:pPr>
        <w:spacing w:line="360" w:lineRule="auto"/>
        <w:jc w:val="both"/>
        <w:rPr>
          <w:rFonts w:cstheme="minorHAnsi"/>
          <w:b/>
          <w:bCs/>
          <w:sz w:val="18"/>
          <w:szCs w:val="18"/>
        </w:rPr>
      </w:pPr>
    </w:p>
    <w:p w14:paraId="05A5352F" w14:textId="7E38E577" w:rsidR="003505E6" w:rsidRDefault="001A5325" w:rsidP="003505E6">
      <w:pPr>
        <w:spacing w:line="360" w:lineRule="auto"/>
        <w:jc w:val="both"/>
        <w:rPr>
          <w:rFonts w:cstheme="minorHAnsi"/>
          <w:b/>
          <w:bCs/>
          <w:sz w:val="18"/>
          <w:szCs w:val="18"/>
        </w:rPr>
      </w:pPr>
      <w:r w:rsidRPr="00640EE1">
        <w:rPr>
          <w:rFonts w:cstheme="minorHAnsi"/>
          <w:b/>
          <w:bCs/>
          <w:sz w:val="18"/>
          <w:szCs w:val="18"/>
        </w:rPr>
        <w:t xml:space="preserve">Source: CBN, </w:t>
      </w:r>
      <w:r>
        <w:rPr>
          <w:rFonts w:cstheme="minorHAnsi"/>
          <w:b/>
          <w:bCs/>
          <w:sz w:val="18"/>
          <w:szCs w:val="18"/>
        </w:rPr>
        <w:t xml:space="preserve">FMDQ, </w:t>
      </w:r>
      <w:r w:rsidRPr="00640EE1">
        <w:rPr>
          <w:rFonts w:cstheme="minorHAnsi"/>
          <w:b/>
          <w:bCs/>
          <w:sz w:val="18"/>
          <w:szCs w:val="18"/>
        </w:rPr>
        <w:t>AIICO Capital</w:t>
      </w:r>
    </w:p>
    <w:p w14:paraId="695F52DB" w14:textId="77777777" w:rsidR="00055BAF" w:rsidRDefault="00055BAF" w:rsidP="009F3A69">
      <w:pPr>
        <w:jc w:val="both"/>
        <w:rPr>
          <w:b/>
          <w:bCs/>
          <w:color w:val="000000" w:themeColor="text1"/>
          <w:sz w:val="20"/>
          <w:szCs w:val="20"/>
          <w:u w:val="single"/>
        </w:rPr>
      </w:pPr>
    </w:p>
    <w:p w14:paraId="7F222E94" w14:textId="67EB59CF" w:rsidR="009F3A69" w:rsidRPr="009F3A69" w:rsidRDefault="009F3A69" w:rsidP="009F3A69">
      <w:pPr>
        <w:jc w:val="both"/>
        <w:rPr>
          <w:b/>
          <w:bCs/>
          <w:color w:val="000000" w:themeColor="text1"/>
          <w:sz w:val="20"/>
          <w:szCs w:val="20"/>
          <w:u w:val="single"/>
        </w:rPr>
      </w:pPr>
      <w:r w:rsidRPr="009F3A69">
        <w:rPr>
          <w:b/>
          <w:bCs/>
          <w:color w:val="000000" w:themeColor="text1"/>
          <w:sz w:val="20"/>
          <w:szCs w:val="20"/>
          <w:u w:val="single"/>
        </w:rPr>
        <w:t xml:space="preserve">Money Market Review and Outlook </w:t>
      </w:r>
      <w:r w:rsidRPr="009F3A69">
        <w:rPr>
          <w:b/>
          <w:bCs/>
          <w:i/>
          <w:iCs/>
          <w:color w:val="595959" w:themeColor="text1" w:themeTint="A6"/>
          <w:sz w:val="20"/>
          <w:szCs w:val="20"/>
        </w:rPr>
        <w:t>–</w:t>
      </w:r>
      <w:r w:rsidR="00F13165">
        <w:rPr>
          <w:b/>
          <w:bCs/>
          <w:i/>
          <w:iCs/>
          <w:color w:val="595959" w:themeColor="text1" w:themeTint="A6"/>
          <w:sz w:val="20"/>
          <w:szCs w:val="20"/>
        </w:rPr>
        <w:t xml:space="preserve"> </w:t>
      </w:r>
      <w:r w:rsidR="00F13165" w:rsidRPr="00F13165">
        <w:rPr>
          <w:b/>
          <w:bCs/>
          <w:i/>
          <w:iCs/>
          <w:color w:val="595959" w:themeColor="text1" w:themeTint="A6"/>
          <w:sz w:val="20"/>
          <w:szCs w:val="20"/>
        </w:rPr>
        <w:t>Tight system liquidity eased by late inflows from bond maturities, coupons and FAAC remits</w:t>
      </w:r>
      <w:r w:rsidR="002811F3" w:rsidRPr="00CA1884">
        <w:rPr>
          <w:b/>
          <w:bCs/>
          <w:i/>
          <w:iCs/>
          <w:color w:val="595959" w:themeColor="text1" w:themeTint="A6"/>
          <w:sz w:val="20"/>
          <w:szCs w:val="20"/>
        </w:rPr>
        <w:t>.</w:t>
      </w:r>
    </w:p>
    <w:p w14:paraId="180D4F4C" w14:textId="5C8159D5" w:rsidR="003D258E" w:rsidRPr="003D258E" w:rsidRDefault="003D258E" w:rsidP="003D258E">
      <w:pPr>
        <w:spacing w:line="360" w:lineRule="auto"/>
        <w:jc w:val="both"/>
        <w:rPr>
          <w:rFonts w:ascii="Calibri" w:eastAsia="Calibri" w:hAnsi="Calibri" w:cs="Calibri"/>
          <w:sz w:val="18"/>
          <w:szCs w:val="18"/>
        </w:rPr>
      </w:pPr>
      <w:r w:rsidRPr="003D258E">
        <w:rPr>
          <w:rFonts w:ascii="Calibri" w:eastAsia="Calibri" w:hAnsi="Calibri" w:cs="Calibri"/>
          <w:sz w:val="18"/>
          <w:szCs w:val="18"/>
        </w:rPr>
        <w:t xml:space="preserve">For </w:t>
      </w:r>
      <w:proofErr w:type="gramStart"/>
      <w:r w:rsidRPr="003D258E">
        <w:rPr>
          <w:rFonts w:ascii="Calibri" w:eastAsia="Calibri" w:hAnsi="Calibri" w:cs="Calibri"/>
          <w:sz w:val="18"/>
          <w:szCs w:val="18"/>
        </w:rPr>
        <w:t>the</w:t>
      </w:r>
      <w:proofErr w:type="gramEnd"/>
      <w:r w:rsidRPr="003D258E">
        <w:rPr>
          <w:rFonts w:ascii="Calibri" w:eastAsia="Calibri" w:hAnsi="Calibri" w:cs="Calibri"/>
          <w:sz w:val="18"/>
          <w:szCs w:val="18"/>
        </w:rPr>
        <w:t xml:space="preserve"> m</w:t>
      </w:r>
      <w:r w:rsidR="006176EE">
        <w:rPr>
          <w:rFonts w:ascii="Calibri" w:eastAsia="Calibri" w:hAnsi="Calibri" w:cs="Calibri"/>
          <w:sz w:val="18"/>
          <w:szCs w:val="18"/>
        </w:rPr>
        <w:t>ajor</w:t>
      </w:r>
      <w:r w:rsidRPr="003D258E">
        <w:rPr>
          <w:rFonts w:ascii="Calibri" w:eastAsia="Calibri" w:hAnsi="Calibri" w:cs="Calibri"/>
          <w:sz w:val="18"/>
          <w:szCs w:val="18"/>
        </w:rPr>
        <w:t xml:space="preserve"> part of the month, the money market was firmly in </w:t>
      </w:r>
      <w:r w:rsidR="006176EE">
        <w:rPr>
          <w:rFonts w:ascii="Calibri" w:eastAsia="Calibri" w:hAnsi="Calibri" w:cs="Calibri"/>
          <w:sz w:val="18"/>
          <w:szCs w:val="18"/>
        </w:rPr>
        <w:t>negative</w:t>
      </w:r>
      <w:r w:rsidRPr="003D258E">
        <w:rPr>
          <w:rFonts w:ascii="Calibri" w:eastAsia="Calibri" w:hAnsi="Calibri" w:cs="Calibri"/>
          <w:sz w:val="18"/>
          <w:szCs w:val="18"/>
        </w:rPr>
        <w:t xml:space="preserve"> territory</w:t>
      </w:r>
      <w:r w:rsidR="00AF2CFD">
        <w:rPr>
          <w:rFonts w:ascii="Calibri" w:eastAsia="Calibri" w:hAnsi="Calibri" w:cs="Calibri"/>
          <w:sz w:val="18"/>
          <w:szCs w:val="18"/>
        </w:rPr>
        <w:t xml:space="preserve"> (extending the </w:t>
      </w:r>
      <w:r w:rsidR="00AF2CFD" w:rsidRPr="003D258E">
        <w:rPr>
          <w:rFonts w:ascii="Calibri" w:eastAsia="Calibri" w:hAnsi="Calibri" w:cs="Calibri"/>
          <w:sz w:val="18"/>
          <w:szCs w:val="18"/>
        </w:rPr>
        <w:t>tight system liquidity situation</w:t>
      </w:r>
      <w:r w:rsidR="006176EE">
        <w:rPr>
          <w:rFonts w:ascii="Calibri" w:eastAsia="Calibri" w:hAnsi="Calibri" w:cs="Calibri"/>
          <w:sz w:val="18"/>
          <w:szCs w:val="18"/>
        </w:rPr>
        <w:t xml:space="preserve"> that ensued</w:t>
      </w:r>
      <w:r w:rsidR="00AF2CFD" w:rsidRPr="003D258E">
        <w:rPr>
          <w:rFonts w:ascii="Calibri" w:eastAsia="Calibri" w:hAnsi="Calibri" w:cs="Calibri"/>
          <w:sz w:val="18"/>
          <w:szCs w:val="18"/>
        </w:rPr>
        <w:t xml:space="preserve"> towards the end of March</w:t>
      </w:r>
      <w:r w:rsidR="00AF2CFD">
        <w:rPr>
          <w:rFonts w:ascii="Calibri" w:eastAsia="Calibri" w:hAnsi="Calibri" w:cs="Calibri"/>
          <w:sz w:val="18"/>
          <w:szCs w:val="18"/>
        </w:rPr>
        <w:t>)</w:t>
      </w:r>
      <w:r w:rsidRPr="003D258E">
        <w:rPr>
          <w:rFonts w:ascii="Calibri" w:eastAsia="Calibri" w:hAnsi="Calibri" w:cs="Calibri"/>
          <w:sz w:val="18"/>
          <w:szCs w:val="18"/>
        </w:rPr>
        <w:t>, driven by Retail FX SMIS, CRR debits, NTB and FGN bonds primary market auctions. Market participants, especially banks, had to patronize CBN’s Standing Lending Facility (SLF) window to meet their obligations.</w:t>
      </w:r>
    </w:p>
    <w:p w14:paraId="5077CE80" w14:textId="51A7E4C2" w:rsidR="009C7A72" w:rsidRDefault="003D258E" w:rsidP="003D258E">
      <w:pPr>
        <w:spacing w:line="360" w:lineRule="auto"/>
        <w:jc w:val="both"/>
        <w:rPr>
          <w:rFonts w:ascii="Calibri" w:eastAsia="Calibri" w:hAnsi="Calibri" w:cs="Calibri"/>
          <w:sz w:val="18"/>
          <w:szCs w:val="18"/>
        </w:rPr>
      </w:pPr>
      <w:r w:rsidRPr="003D258E">
        <w:rPr>
          <w:rFonts w:ascii="Calibri" w:eastAsia="Calibri" w:hAnsi="Calibri" w:cs="Calibri"/>
          <w:sz w:val="18"/>
          <w:szCs w:val="18"/>
        </w:rPr>
        <w:t>However, the liquidity situation improved towards the last few days of the month, bolstered by the heavy FGN 2023 bond maturity (c.₦735.96 billion), coupon (c.₦418.42 billion) and FAAC remits. System liquidity peaked at c.₦1.3 trillion and closed the month at similar level</w:t>
      </w:r>
      <w:r w:rsidR="000B510A">
        <w:rPr>
          <w:rFonts w:ascii="Calibri" w:eastAsia="Calibri" w:hAnsi="Calibri" w:cs="Calibri"/>
          <w:sz w:val="18"/>
          <w:szCs w:val="18"/>
        </w:rPr>
        <w:t>.</w:t>
      </w:r>
    </w:p>
    <w:p w14:paraId="15EF210E" w14:textId="71BAEDDB" w:rsidR="00F13165" w:rsidRDefault="00F13165" w:rsidP="003D258E">
      <w:pPr>
        <w:spacing w:line="360" w:lineRule="auto"/>
        <w:jc w:val="both"/>
        <w:rPr>
          <w:rFonts w:ascii="Calibri" w:eastAsia="Calibri" w:hAnsi="Calibri" w:cs="Calibri"/>
          <w:sz w:val="18"/>
          <w:szCs w:val="18"/>
        </w:rPr>
      </w:pPr>
      <w:r w:rsidRPr="00F13165">
        <w:rPr>
          <w:rFonts w:ascii="Calibri" w:eastAsia="Calibri" w:hAnsi="Calibri" w:cs="Calibri"/>
          <w:sz w:val="18"/>
          <w:szCs w:val="18"/>
        </w:rPr>
        <w:t>Overall, system liquidity averaged ₦17.06 billion (vs ₦173.30 billion in Mar 2023), and Overnight Policy Rate (OPR) and Overnight (ON) rates expanded to an average of 16.98% and 17.35% from 13.72% and 14.17% in Mar 2023</w:t>
      </w:r>
      <w:r>
        <w:rPr>
          <w:rFonts w:ascii="Calibri" w:eastAsia="Calibri" w:hAnsi="Calibri" w:cs="Calibri"/>
          <w:sz w:val="18"/>
          <w:szCs w:val="18"/>
        </w:rPr>
        <w:t>.</w:t>
      </w:r>
    </w:p>
    <w:p w14:paraId="793BD38C" w14:textId="77777777" w:rsidR="004A22AC" w:rsidRDefault="004A22AC" w:rsidP="003D258E">
      <w:pPr>
        <w:spacing w:line="360" w:lineRule="auto"/>
        <w:jc w:val="both"/>
        <w:rPr>
          <w:rFonts w:ascii="Calibri" w:eastAsia="Calibri" w:hAnsi="Calibri" w:cs="Calibri"/>
          <w:sz w:val="18"/>
          <w:szCs w:val="18"/>
        </w:rPr>
      </w:pPr>
    </w:p>
    <w:p w14:paraId="5CF8C61B" w14:textId="77777777" w:rsidR="004A22AC" w:rsidRDefault="004A22AC" w:rsidP="003D258E">
      <w:pPr>
        <w:spacing w:line="360" w:lineRule="auto"/>
        <w:jc w:val="both"/>
        <w:rPr>
          <w:rFonts w:ascii="Calibri" w:eastAsia="Calibri" w:hAnsi="Calibri" w:cs="Calibri"/>
          <w:sz w:val="18"/>
          <w:szCs w:val="18"/>
        </w:rPr>
      </w:pPr>
    </w:p>
    <w:p w14:paraId="58EA54E5" w14:textId="77777777" w:rsidR="004A22AC" w:rsidRPr="006F3E34" w:rsidRDefault="004A22AC" w:rsidP="003D258E">
      <w:pPr>
        <w:spacing w:line="360" w:lineRule="auto"/>
        <w:jc w:val="both"/>
        <w:rPr>
          <w:rFonts w:ascii="Calibri" w:eastAsia="Calibri" w:hAnsi="Calibri" w:cs="Calibri"/>
          <w:sz w:val="18"/>
          <w:szCs w:val="18"/>
        </w:rPr>
      </w:pPr>
    </w:p>
    <w:p w14:paraId="3DE313A1" w14:textId="7DE74AF2" w:rsidR="004005F7" w:rsidRDefault="004A22AC" w:rsidP="009C3045">
      <w:pPr>
        <w:pBdr>
          <w:bottom w:val="single" w:sz="4" w:space="1" w:color="auto"/>
        </w:pBdr>
        <w:spacing w:line="360" w:lineRule="auto"/>
        <w:jc w:val="both"/>
        <w:rPr>
          <w:sz w:val="18"/>
          <w:szCs w:val="18"/>
        </w:rPr>
      </w:pPr>
      <w:r>
        <w:rPr>
          <w:noProof/>
        </w:rPr>
        <w:lastRenderedPageBreak/>
        <w:drawing>
          <wp:anchor distT="0" distB="0" distL="114300" distR="114300" simplePos="0" relativeHeight="251747333" behindDoc="0" locked="0" layoutInCell="1" allowOverlap="1" wp14:anchorId="794C3A23" wp14:editId="22E4B14F">
            <wp:simplePos x="0" y="0"/>
            <wp:positionH relativeFrom="margin">
              <wp:align>left</wp:align>
            </wp:positionH>
            <wp:positionV relativeFrom="paragraph">
              <wp:posOffset>338455</wp:posOffset>
            </wp:positionV>
            <wp:extent cx="6309360" cy="2244090"/>
            <wp:effectExtent l="0" t="0" r="0" b="3810"/>
            <wp:wrapSquare wrapText="bothSides"/>
            <wp:docPr id="1175249232" name="Chart 1">
              <a:extLst xmlns:a="http://schemas.openxmlformats.org/drawingml/2006/main">
                <a:ext uri="{FF2B5EF4-FFF2-40B4-BE49-F238E27FC236}">
                  <a16:creationId xmlns:a16="http://schemas.microsoft.com/office/drawing/2014/main" id="{3D2A1998-1957-4A51-A805-B428714C3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9C3045" w:rsidRPr="00640EE1">
        <w:rPr>
          <w:rFonts w:cstheme="minorHAnsi"/>
          <w:b/>
          <w:bCs/>
          <w:sz w:val="18"/>
          <w:szCs w:val="18"/>
        </w:rPr>
        <w:t xml:space="preserve">Chart </w:t>
      </w:r>
      <w:r w:rsidR="00AC2791">
        <w:rPr>
          <w:rFonts w:cstheme="minorHAnsi"/>
          <w:b/>
          <w:bCs/>
          <w:sz w:val="18"/>
          <w:szCs w:val="18"/>
        </w:rPr>
        <w:t>3</w:t>
      </w:r>
      <w:r w:rsidR="009C3045" w:rsidRPr="00640EE1">
        <w:rPr>
          <w:rFonts w:cstheme="minorHAnsi"/>
          <w:b/>
          <w:bCs/>
          <w:sz w:val="18"/>
          <w:szCs w:val="18"/>
        </w:rPr>
        <w:t xml:space="preserve"> – </w:t>
      </w:r>
      <w:r w:rsidR="00C21B20">
        <w:rPr>
          <w:rFonts w:cstheme="minorHAnsi"/>
          <w:b/>
          <w:bCs/>
          <w:sz w:val="18"/>
          <w:szCs w:val="18"/>
        </w:rPr>
        <w:t xml:space="preserve">System </w:t>
      </w:r>
      <w:r w:rsidR="00712DDB">
        <w:rPr>
          <w:rFonts w:cstheme="minorHAnsi"/>
          <w:b/>
          <w:bCs/>
          <w:sz w:val="18"/>
          <w:szCs w:val="18"/>
        </w:rPr>
        <w:t>Liquidity and Interbank Rates</w:t>
      </w:r>
    </w:p>
    <w:p w14:paraId="058CBF10" w14:textId="5996E6AA" w:rsidR="00E62FD4" w:rsidRDefault="004A22AC" w:rsidP="00CA7E84">
      <w:pPr>
        <w:pBdr>
          <w:top w:val="single" w:sz="4" w:space="0" w:color="auto"/>
        </w:pBdr>
        <w:spacing w:line="360" w:lineRule="auto"/>
        <w:jc w:val="both"/>
        <w:rPr>
          <w:rFonts w:cstheme="minorHAnsi"/>
          <w:b/>
          <w:bCs/>
          <w:sz w:val="18"/>
          <w:szCs w:val="18"/>
        </w:rPr>
      </w:pPr>
      <w:r w:rsidRPr="00640EE1">
        <w:rPr>
          <w:rFonts w:cstheme="minorHAnsi"/>
          <w:b/>
          <w:bCs/>
          <w:sz w:val="18"/>
          <w:szCs w:val="18"/>
        </w:rPr>
        <w:t xml:space="preserve"> </w:t>
      </w:r>
      <w:r w:rsidR="004005F7" w:rsidRPr="00640EE1">
        <w:rPr>
          <w:rFonts w:cstheme="minorHAnsi"/>
          <w:b/>
          <w:bCs/>
          <w:sz w:val="18"/>
          <w:szCs w:val="18"/>
        </w:rPr>
        <w:t xml:space="preserve">Source: CBN, </w:t>
      </w:r>
      <w:r w:rsidR="004005F7">
        <w:rPr>
          <w:rFonts w:cstheme="minorHAnsi"/>
          <w:b/>
          <w:bCs/>
          <w:sz w:val="18"/>
          <w:szCs w:val="18"/>
        </w:rPr>
        <w:t xml:space="preserve">FMDQ, </w:t>
      </w:r>
      <w:r w:rsidR="004005F7" w:rsidRPr="00640EE1">
        <w:rPr>
          <w:rFonts w:cstheme="minorHAnsi"/>
          <w:b/>
          <w:bCs/>
          <w:sz w:val="18"/>
          <w:szCs w:val="18"/>
        </w:rPr>
        <w:t>AIICO Capital</w:t>
      </w:r>
    </w:p>
    <w:p w14:paraId="02CDBFCA" w14:textId="4F92D2FA" w:rsidR="00E340B3" w:rsidRPr="00265053" w:rsidRDefault="00054663" w:rsidP="00265053">
      <w:pPr>
        <w:spacing w:line="360" w:lineRule="auto"/>
        <w:jc w:val="both"/>
        <w:rPr>
          <w:b/>
          <w:bCs/>
          <w:i/>
          <w:iCs/>
          <w:sz w:val="18"/>
          <w:szCs w:val="18"/>
          <w:highlight w:val="yellow"/>
        </w:rPr>
      </w:pPr>
      <w:r w:rsidRPr="00F36964">
        <w:rPr>
          <w:rFonts w:cstheme="minorHAnsi"/>
          <w:b/>
          <w:color w:val="000000" w:themeColor="text1"/>
          <w:sz w:val="20"/>
          <w:szCs w:val="20"/>
          <w:u w:val="single"/>
        </w:rPr>
        <w:t>Outlook:</w:t>
      </w:r>
      <w:r>
        <w:rPr>
          <w:rFonts w:cstheme="minorHAnsi"/>
          <w:b/>
          <w:color w:val="000000" w:themeColor="text1"/>
          <w:sz w:val="20"/>
          <w:szCs w:val="20"/>
        </w:rPr>
        <w:t xml:space="preserve"> </w:t>
      </w:r>
      <w:r w:rsidR="00336787" w:rsidRPr="00336787">
        <w:rPr>
          <w:rFonts w:cstheme="minorHAnsi"/>
          <w:sz w:val="18"/>
          <w:szCs w:val="18"/>
        </w:rPr>
        <w:t xml:space="preserve">The money market should witness an extended period of tight system liquidity, </w:t>
      </w:r>
      <w:proofErr w:type="gramStart"/>
      <w:r w:rsidR="00336787" w:rsidRPr="00336787">
        <w:rPr>
          <w:rFonts w:cstheme="minorHAnsi"/>
          <w:sz w:val="18"/>
          <w:szCs w:val="18"/>
        </w:rPr>
        <w:t>on the basis of</w:t>
      </w:r>
      <w:proofErr w:type="gramEnd"/>
      <w:r w:rsidR="00336787" w:rsidRPr="00336787">
        <w:rPr>
          <w:rFonts w:cstheme="minorHAnsi"/>
          <w:sz w:val="18"/>
          <w:szCs w:val="18"/>
        </w:rPr>
        <w:t xml:space="preserve"> low FGN bond coupon (c.₦22.03 billion), albeit OMO maturity (c.₦478.11 billion) should provide some relief. Thus, interbank rates are expected to stay at elevated levels for most part of the month</w:t>
      </w:r>
      <w:r w:rsidR="001C58D7">
        <w:rPr>
          <w:rFonts w:cstheme="minorHAnsi"/>
          <w:sz w:val="18"/>
          <w:szCs w:val="18"/>
        </w:rPr>
        <w:t>.</w:t>
      </w:r>
    </w:p>
    <w:p w14:paraId="7E9C8B0D" w14:textId="77777777" w:rsidR="00BE3B7C" w:rsidRDefault="00BE3B7C" w:rsidP="72409F61">
      <w:pPr>
        <w:jc w:val="both"/>
        <w:rPr>
          <w:b/>
          <w:bCs/>
          <w:i/>
          <w:iCs/>
          <w:sz w:val="18"/>
          <w:szCs w:val="18"/>
        </w:rPr>
      </w:pPr>
    </w:p>
    <w:p w14:paraId="7BC4D029" w14:textId="457559D8" w:rsidR="00AE45D5" w:rsidRPr="00AE45D5" w:rsidRDefault="00777A3A" w:rsidP="00AE45D5">
      <w:pPr>
        <w:jc w:val="both"/>
        <w:rPr>
          <w:b/>
          <w:bCs/>
          <w:i/>
          <w:iCs/>
          <w:color w:val="595959" w:themeColor="text1" w:themeTint="A6"/>
          <w:sz w:val="20"/>
          <w:szCs w:val="20"/>
        </w:rPr>
      </w:pPr>
      <w:r w:rsidRPr="004E314F">
        <w:rPr>
          <w:b/>
          <w:bCs/>
          <w:color w:val="000000" w:themeColor="text1"/>
          <w:sz w:val="20"/>
          <w:szCs w:val="20"/>
          <w:u w:val="single"/>
        </w:rPr>
        <w:t>T</w:t>
      </w:r>
      <w:r w:rsidR="000C6ECC" w:rsidRPr="004E314F">
        <w:rPr>
          <w:b/>
          <w:bCs/>
          <w:color w:val="000000" w:themeColor="text1"/>
          <w:sz w:val="20"/>
          <w:szCs w:val="20"/>
          <w:u w:val="single"/>
        </w:rPr>
        <w:t>-</w:t>
      </w:r>
      <w:r w:rsidRPr="004E314F">
        <w:rPr>
          <w:b/>
          <w:bCs/>
          <w:color w:val="000000" w:themeColor="text1"/>
          <w:sz w:val="20"/>
          <w:szCs w:val="20"/>
          <w:u w:val="single"/>
        </w:rPr>
        <w:t>Bills Market Review and Outlook</w:t>
      </w:r>
      <w:r w:rsidR="00A242F1" w:rsidRPr="004E314F">
        <w:rPr>
          <w:b/>
          <w:bCs/>
          <w:color w:val="000000" w:themeColor="text1"/>
          <w:sz w:val="20"/>
          <w:szCs w:val="20"/>
        </w:rPr>
        <w:t xml:space="preserve"> </w:t>
      </w:r>
      <w:r w:rsidR="00A242F1" w:rsidRPr="72409F61">
        <w:rPr>
          <w:b/>
          <w:bCs/>
          <w:color w:val="595959" w:themeColor="text1" w:themeTint="A6"/>
          <w:sz w:val="20"/>
          <w:szCs w:val="20"/>
        </w:rPr>
        <w:t xml:space="preserve">- </w:t>
      </w:r>
      <w:r w:rsidR="001A3453" w:rsidRPr="001A3453">
        <w:rPr>
          <w:b/>
          <w:bCs/>
          <w:i/>
          <w:iCs/>
          <w:color w:val="595959" w:themeColor="text1" w:themeTint="A6"/>
          <w:sz w:val="20"/>
          <w:szCs w:val="20"/>
        </w:rPr>
        <w:t>Bearish theme dominated the early periods, but improved system liquidity drove late buying activity</w:t>
      </w:r>
      <w:r w:rsidR="006F3E34" w:rsidRPr="006F3E34">
        <w:rPr>
          <w:b/>
          <w:bCs/>
          <w:i/>
          <w:iCs/>
          <w:color w:val="595959" w:themeColor="text1" w:themeTint="A6"/>
          <w:sz w:val="20"/>
          <w:szCs w:val="20"/>
        </w:rPr>
        <w:t>.</w:t>
      </w:r>
    </w:p>
    <w:p w14:paraId="0C7C8377" w14:textId="77777777" w:rsidR="00412E10" w:rsidRPr="00412E10" w:rsidRDefault="00412E10" w:rsidP="00412E10">
      <w:pPr>
        <w:spacing w:line="360" w:lineRule="auto"/>
        <w:jc w:val="both"/>
        <w:rPr>
          <w:rFonts w:cstheme="minorHAnsi"/>
          <w:sz w:val="18"/>
          <w:szCs w:val="18"/>
        </w:rPr>
      </w:pPr>
      <w:r w:rsidRPr="00412E10">
        <w:rPr>
          <w:rFonts w:cstheme="minorHAnsi"/>
          <w:sz w:val="18"/>
          <w:szCs w:val="18"/>
        </w:rPr>
        <w:t>The effect of the tight liquidity situation spurred bearish pressures in the treasury bills space. Market participants sold their papers (mostly across the belly to the long end of the curve) to raise liquidity to fund their obligations, thus recording trading losses in the process.</w:t>
      </w:r>
    </w:p>
    <w:p w14:paraId="1FCC13DF" w14:textId="77777777" w:rsidR="00412E10" w:rsidRPr="00412E10" w:rsidRDefault="00412E10" w:rsidP="00412E10">
      <w:pPr>
        <w:spacing w:line="360" w:lineRule="auto"/>
        <w:jc w:val="both"/>
        <w:rPr>
          <w:rFonts w:cstheme="minorHAnsi"/>
          <w:sz w:val="18"/>
          <w:szCs w:val="18"/>
        </w:rPr>
      </w:pPr>
      <w:r w:rsidRPr="00412E10">
        <w:rPr>
          <w:rFonts w:cstheme="minorHAnsi"/>
          <w:sz w:val="18"/>
          <w:szCs w:val="18"/>
        </w:rPr>
        <w:t>The impact of the selling interest also reflected in the preliminary treasury bills primary market auction, where the DMO managed rate expectation amid weak subscription levels, closing the 1-year paper at 14.70%, while maintaining the rates for the 91- and 182-day papers at 6.00% and 8.00% respectively.</w:t>
      </w:r>
    </w:p>
    <w:p w14:paraId="732308DB" w14:textId="77777777" w:rsidR="00412E10" w:rsidRPr="00412E10" w:rsidRDefault="00412E10" w:rsidP="00412E10">
      <w:pPr>
        <w:spacing w:line="360" w:lineRule="auto"/>
        <w:jc w:val="both"/>
        <w:rPr>
          <w:rFonts w:cstheme="minorHAnsi"/>
          <w:sz w:val="18"/>
          <w:szCs w:val="18"/>
        </w:rPr>
      </w:pPr>
      <w:r w:rsidRPr="00412E10">
        <w:rPr>
          <w:rFonts w:cstheme="minorHAnsi"/>
          <w:sz w:val="18"/>
          <w:szCs w:val="18"/>
        </w:rPr>
        <w:t>The market soon after eased to a bullish theme due to the late liquidity influx which eased the selling interests that have dominated proceedings in previous sessions. Interest grew heavy on the long-dated papers, declining by more than 200bps to the 11.00% handle. This was also evident in the final auction for the month, where the stop rates for the 1-year paper closed at 10.17% and subsequent trading sessions saw c.45bps dip across the long end of the curve.</w:t>
      </w:r>
    </w:p>
    <w:p w14:paraId="230E3617" w14:textId="2217B844" w:rsidR="006F3E34" w:rsidRPr="006F3E34" w:rsidRDefault="00412E10" w:rsidP="00412E10">
      <w:pPr>
        <w:spacing w:line="360" w:lineRule="auto"/>
        <w:jc w:val="both"/>
        <w:rPr>
          <w:rFonts w:cstheme="minorHAnsi"/>
          <w:sz w:val="18"/>
          <w:szCs w:val="18"/>
        </w:rPr>
      </w:pPr>
      <w:r w:rsidRPr="00412E10">
        <w:rPr>
          <w:rFonts w:cstheme="minorHAnsi"/>
          <w:sz w:val="18"/>
          <w:szCs w:val="18"/>
        </w:rPr>
        <w:t>Overall, the total NTB primary market subscription for the month printed at c.₦1.10 trillion (of which 73% of the subscription was gathered at the last auction where system liquidity was surfeit), while c.₦281.10bn was offered and same was allotted</w:t>
      </w:r>
      <w:r w:rsidR="00FA7454" w:rsidRPr="00FA7454">
        <w:rPr>
          <w:rFonts w:cstheme="minorHAnsi"/>
          <w:sz w:val="18"/>
          <w:szCs w:val="18"/>
        </w:rPr>
        <w:t>.</w:t>
      </w:r>
    </w:p>
    <w:p w14:paraId="372E6041" w14:textId="77777777" w:rsidR="00412E10" w:rsidRDefault="00412E10" w:rsidP="00A242F1">
      <w:pPr>
        <w:pBdr>
          <w:bottom w:val="single" w:sz="4" w:space="1" w:color="595959" w:themeColor="text1" w:themeTint="A6"/>
        </w:pBdr>
        <w:spacing w:line="360" w:lineRule="auto"/>
        <w:jc w:val="both"/>
        <w:rPr>
          <w:rFonts w:cstheme="minorHAnsi"/>
          <w:sz w:val="18"/>
          <w:szCs w:val="18"/>
        </w:rPr>
      </w:pPr>
      <w:r w:rsidRPr="00412E10">
        <w:rPr>
          <w:rFonts w:cstheme="minorHAnsi"/>
          <w:sz w:val="18"/>
          <w:szCs w:val="18"/>
        </w:rPr>
        <w:t xml:space="preserve">Generally, the average rate declined by c.165bps M-o-M to close at 6.43%. </w:t>
      </w:r>
    </w:p>
    <w:p w14:paraId="793ADA85" w14:textId="77777777" w:rsidR="00412E10" w:rsidRDefault="00412E10" w:rsidP="00A242F1">
      <w:pPr>
        <w:pBdr>
          <w:bottom w:val="single" w:sz="4" w:space="1" w:color="595959" w:themeColor="text1" w:themeTint="A6"/>
        </w:pBdr>
        <w:spacing w:line="360" w:lineRule="auto"/>
        <w:jc w:val="both"/>
        <w:rPr>
          <w:rFonts w:cstheme="minorHAnsi"/>
          <w:b/>
          <w:bCs/>
          <w:sz w:val="18"/>
          <w:szCs w:val="18"/>
        </w:rPr>
      </w:pPr>
    </w:p>
    <w:p w14:paraId="23474C68" w14:textId="77777777" w:rsidR="00412E10" w:rsidRDefault="00412E10" w:rsidP="00A242F1">
      <w:pPr>
        <w:pBdr>
          <w:bottom w:val="single" w:sz="4" w:space="1" w:color="595959" w:themeColor="text1" w:themeTint="A6"/>
        </w:pBdr>
        <w:spacing w:line="360" w:lineRule="auto"/>
        <w:jc w:val="both"/>
        <w:rPr>
          <w:rFonts w:cstheme="minorHAnsi"/>
          <w:b/>
          <w:bCs/>
          <w:sz w:val="18"/>
          <w:szCs w:val="18"/>
        </w:rPr>
      </w:pPr>
    </w:p>
    <w:p w14:paraId="217CBCC7" w14:textId="61DE2BE8" w:rsidR="008C3F11" w:rsidRPr="00640EE1" w:rsidRDefault="00B602DC" w:rsidP="00A242F1">
      <w:pPr>
        <w:pBdr>
          <w:bottom w:val="single" w:sz="4" w:space="1" w:color="595959" w:themeColor="text1" w:themeTint="A6"/>
        </w:pBdr>
        <w:spacing w:line="360" w:lineRule="auto"/>
        <w:jc w:val="both"/>
        <w:rPr>
          <w:rFonts w:cstheme="minorHAnsi"/>
          <w:b/>
          <w:bCs/>
          <w:sz w:val="18"/>
          <w:szCs w:val="18"/>
        </w:rPr>
      </w:pPr>
      <w:r>
        <w:rPr>
          <w:b/>
          <w:bCs/>
          <w:sz w:val="18"/>
          <w:szCs w:val="18"/>
        </w:rPr>
        <w:lastRenderedPageBreak/>
        <w:t>Table 1</w:t>
      </w:r>
      <w:r w:rsidR="008C3F11" w:rsidRPr="72409F61">
        <w:rPr>
          <w:b/>
          <w:bCs/>
          <w:sz w:val="18"/>
          <w:szCs w:val="18"/>
        </w:rPr>
        <w:t xml:space="preserve"> – N</w:t>
      </w:r>
      <w:r w:rsidR="00A47DD8">
        <w:rPr>
          <w:b/>
          <w:bCs/>
          <w:sz w:val="18"/>
          <w:szCs w:val="18"/>
        </w:rPr>
        <w:t>igerian Treasury Bills (NTB)</w:t>
      </w:r>
      <w:r w:rsidR="008C3F11" w:rsidRPr="72409F61">
        <w:rPr>
          <w:b/>
          <w:bCs/>
          <w:sz w:val="18"/>
          <w:szCs w:val="18"/>
        </w:rPr>
        <w:t xml:space="preserve"> Auction </w:t>
      </w:r>
      <w:r w:rsidR="00B534CB">
        <w:rPr>
          <w:b/>
          <w:bCs/>
          <w:sz w:val="18"/>
          <w:szCs w:val="18"/>
        </w:rPr>
        <w:t>Result</w:t>
      </w:r>
    </w:p>
    <w:tbl>
      <w:tblPr>
        <w:tblW w:w="7832" w:type="dxa"/>
        <w:tblLook w:val="04A0" w:firstRow="1" w:lastRow="0" w:firstColumn="1" w:lastColumn="0" w:noHBand="0" w:noVBand="1"/>
      </w:tblPr>
      <w:tblGrid>
        <w:gridCol w:w="1230"/>
        <w:gridCol w:w="1512"/>
        <w:gridCol w:w="1677"/>
        <w:gridCol w:w="1657"/>
        <w:gridCol w:w="1756"/>
      </w:tblGrid>
      <w:tr w:rsidR="006F3E34" w:rsidRPr="006F3E34" w14:paraId="272EB670" w14:textId="77777777" w:rsidTr="00516004">
        <w:trPr>
          <w:trHeight w:val="334"/>
        </w:trPr>
        <w:tc>
          <w:tcPr>
            <w:tcW w:w="7832" w:type="dxa"/>
            <w:gridSpan w:val="5"/>
            <w:tcBorders>
              <w:top w:val="nil"/>
              <w:left w:val="single" w:sz="4" w:space="0" w:color="auto"/>
              <w:bottom w:val="single" w:sz="4" w:space="0" w:color="auto"/>
              <w:right w:val="nil"/>
            </w:tcBorders>
            <w:shd w:val="clear" w:color="000000" w:fill="002060"/>
            <w:noWrap/>
            <w:vAlign w:val="center"/>
            <w:hideMark/>
          </w:tcPr>
          <w:p w14:paraId="5835E8BE" w14:textId="052213A9" w:rsidR="006F3E34" w:rsidRPr="006F3E34" w:rsidRDefault="005F3664" w:rsidP="00516004">
            <w:pPr>
              <w:spacing w:after="0" w:line="240" w:lineRule="auto"/>
              <w:jc w:val="center"/>
              <w:rPr>
                <w:rFonts w:eastAsia="Times New Roman" w:cstheme="minorHAnsi"/>
                <w:b/>
                <w:bCs/>
                <w:color w:val="FFFFFF"/>
                <w:sz w:val="18"/>
                <w:szCs w:val="18"/>
              </w:rPr>
            </w:pPr>
            <w:r>
              <w:rPr>
                <w:rFonts w:eastAsia="Times New Roman" w:cs="Calibri"/>
                <w:b/>
                <w:bCs/>
                <w:color w:val="FFFFFF"/>
                <w:sz w:val="18"/>
                <w:szCs w:val="18"/>
              </w:rPr>
              <w:t>APRIL 2023 NTB AUCTION RESULT</w:t>
            </w:r>
          </w:p>
        </w:tc>
      </w:tr>
      <w:tr w:rsidR="00696BFD" w:rsidRPr="006F3E34" w14:paraId="5BD8F0AB" w14:textId="77777777" w:rsidTr="00DE7608">
        <w:trPr>
          <w:trHeight w:val="323"/>
        </w:trPr>
        <w:tc>
          <w:tcPr>
            <w:tcW w:w="1230" w:type="dxa"/>
            <w:tcBorders>
              <w:top w:val="single" w:sz="4" w:space="0" w:color="auto"/>
              <w:left w:val="single" w:sz="4" w:space="0" w:color="auto"/>
              <w:bottom w:val="single" w:sz="4" w:space="0" w:color="auto"/>
              <w:right w:val="single" w:sz="4" w:space="0" w:color="auto"/>
            </w:tcBorders>
            <w:noWrap/>
            <w:vAlign w:val="bottom"/>
            <w:hideMark/>
          </w:tcPr>
          <w:p w14:paraId="4619B25D" w14:textId="7840E67E" w:rsidR="00696BFD" w:rsidRPr="00696BFD" w:rsidRDefault="00696BFD" w:rsidP="00696BFD">
            <w:pPr>
              <w:spacing w:after="0" w:line="240" w:lineRule="auto"/>
              <w:jc w:val="center"/>
              <w:rPr>
                <w:rFonts w:eastAsia="Times New Roman" w:cstheme="minorHAnsi"/>
                <w:b/>
                <w:bCs/>
                <w:color w:val="000000"/>
                <w:sz w:val="18"/>
                <w:szCs w:val="18"/>
              </w:rPr>
            </w:pPr>
            <w:r w:rsidRPr="00696BFD">
              <w:rPr>
                <w:rFonts w:cstheme="minorHAnsi"/>
                <w:b/>
                <w:bCs/>
                <w:color w:val="000000"/>
                <w:sz w:val="18"/>
                <w:szCs w:val="18"/>
              </w:rPr>
              <w:t>Tenor</w:t>
            </w:r>
          </w:p>
        </w:tc>
        <w:tc>
          <w:tcPr>
            <w:tcW w:w="1512" w:type="dxa"/>
            <w:tcBorders>
              <w:top w:val="single" w:sz="4" w:space="0" w:color="auto"/>
              <w:left w:val="nil"/>
              <w:bottom w:val="single" w:sz="4" w:space="0" w:color="auto"/>
              <w:right w:val="single" w:sz="4" w:space="0" w:color="auto"/>
            </w:tcBorders>
            <w:shd w:val="clear" w:color="auto" w:fill="D9D9D9"/>
            <w:vAlign w:val="bottom"/>
            <w:hideMark/>
          </w:tcPr>
          <w:p w14:paraId="62DC8528" w14:textId="1FFDFAD9" w:rsidR="00696BFD" w:rsidRPr="00696BFD" w:rsidRDefault="00696BFD" w:rsidP="00696BFD">
            <w:pPr>
              <w:spacing w:after="0" w:line="240" w:lineRule="auto"/>
              <w:jc w:val="center"/>
              <w:rPr>
                <w:rFonts w:eastAsia="Times New Roman" w:cstheme="minorHAnsi"/>
                <w:b/>
                <w:bCs/>
                <w:color w:val="000000"/>
                <w:sz w:val="18"/>
                <w:szCs w:val="18"/>
              </w:rPr>
            </w:pPr>
            <w:r w:rsidRPr="00696BFD">
              <w:rPr>
                <w:rFonts w:cstheme="minorHAnsi"/>
                <w:b/>
                <w:bCs/>
                <w:color w:val="000000"/>
                <w:sz w:val="18"/>
                <w:szCs w:val="18"/>
              </w:rPr>
              <w:t>Mar'23</w:t>
            </w:r>
            <w:r w:rsidRPr="00696BFD">
              <w:rPr>
                <w:rFonts w:cstheme="minorHAnsi"/>
                <w:b/>
                <w:bCs/>
                <w:color w:val="000000"/>
                <w:sz w:val="18"/>
                <w:szCs w:val="18"/>
              </w:rPr>
              <w:br/>
              <w:t xml:space="preserve"> Close</w:t>
            </w:r>
          </w:p>
        </w:tc>
        <w:tc>
          <w:tcPr>
            <w:tcW w:w="1677" w:type="dxa"/>
            <w:tcBorders>
              <w:top w:val="single" w:sz="4" w:space="0" w:color="auto"/>
              <w:left w:val="nil"/>
              <w:bottom w:val="single" w:sz="4" w:space="0" w:color="auto"/>
              <w:right w:val="single" w:sz="4" w:space="0" w:color="auto"/>
            </w:tcBorders>
            <w:vAlign w:val="bottom"/>
            <w:hideMark/>
          </w:tcPr>
          <w:p w14:paraId="40ED3489" w14:textId="596C2C5E" w:rsidR="00696BFD" w:rsidRPr="00696BFD" w:rsidRDefault="00696BFD" w:rsidP="00696BFD">
            <w:pPr>
              <w:spacing w:after="0" w:line="240" w:lineRule="auto"/>
              <w:jc w:val="center"/>
              <w:rPr>
                <w:rFonts w:eastAsia="Times New Roman" w:cstheme="minorHAnsi"/>
                <w:b/>
                <w:bCs/>
                <w:color w:val="000000"/>
                <w:sz w:val="18"/>
                <w:szCs w:val="18"/>
              </w:rPr>
            </w:pPr>
            <w:r w:rsidRPr="00696BFD">
              <w:rPr>
                <w:rFonts w:cstheme="minorHAnsi"/>
                <w:b/>
                <w:bCs/>
                <w:color w:val="000000"/>
                <w:sz w:val="18"/>
                <w:szCs w:val="18"/>
              </w:rPr>
              <w:t>Apr'23</w:t>
            </w:r>
            <w:r w:rsidRPr="00696BFD">
              <w:rPr>
                <w:rFonts w:cstheme="minorHAnsi"/>
                <w:b/>
                <w:bCs/>
                <w:color w:val="000000"/>
                <w:sz w:val="18"/>
                <w:szCs w:val="18"/>
              </w:rPr>
              <w:br/>
            </w:r>
            <w:proofErr w:type="spellStart"/>
            <w:r w:rsidRPr="00696BFD">
              <w:rPr>
                <w:rFonts w:cstheme="minorHAnsi"/>
                <w:b/>
                <w:bCs/>
                <w:color w:val="000000"/>
                <w:sz w:val="18"/>
                <w:szCs w:val="18"/>
              </w:rPr>
              <w:t>Auc</w:t>
            </w:r>
            <w:proofErr w:type="spellEnd"/>
            <w:r w:rsidRPr="00696BFD">
              <w:rPr>
                <w:rFonts w:cstheme="minorHAnsi"/>
                <w:b/>
                <w:bCs/>
                <w:color w:val="000000"/>
                <w:sz w:val="18"/>
                <w:szCs w:val="18"/>
              </w:rPr>
              <w:t xml:space="preserve"> 1</w:t>
            </w:r>
          </w:p>
        </w:tc>
        <w:tc>
          <w:tcPr>
            <w:tcW w:w="1657" w:type="dxa"/>
            <w:tcBorders>
              <w:top w:val="single" w:sz="4" w:space="0" w:color="auto"/>
              <w:left w:val="nil"/>
              <w:bottom w:val="single" w:sz="4" w:space="0" w:color="auto"/>
              <w:right w:val="single" w:sz="4" w:space="0" w:color="auto"/>
            </w:tcBorders>
            <w:vAlign w:val="bottom"/>
            <w:hideMark/>
          </w:tcPr>
          <w:p w14:paraId="67053FE9" w14:textId="5A4795ED" w:rsidR="00696BFD" w:rsidRPr="00696BFD" w:rsidRDefault="00696BFD" w:rsidP="00696BFD">
            <w:pPr>
              <w:spacing w:after="0" w:line="240" w:lineRule="auto"/>
              <w:jc w:val="center"/>
              <w:rPr>
                <w:rFonts w:eastAsia="Times New Roman" w:cstheme="minorHAnsi"/>
                <w:b/>
                <w:bCs/>
                <w:color w:val="000000"/>
                <w:sz w:val="18"/>
                <w:szCs w:val="18"/>
              </w:rPr>
            </w:pPr>
            <w:r w:rsidRPr="00696BFD">
              <w:rPr>
                <w:rFonts w:cstheme="minorHAnsi"/>
                <w:b/>
                <w:bCs/>
                <w:color w:val="000000"/>
                <w:sz w:val="18"/>
                <w:szCs w:val="18"/>
              </w:rPr>
              <w:t>Apr'23</w:t>
            </w:r>
            <w:r w:rsidRPr="00696BFD">
              <w:rPr>
                <w:rFonts w:cstheme="minorHAnsi"/>
                <w:b/>
                <w:bCs/>
                <w:color w:val="000000"/>
                <w:sz w:val="18"/>
                <w:szCs w:val="18"/>
              </w:rPr>
              <w:br/>
            </w:r>
            <w:proofErr w:type="spellStart"/>
            <w:r w:rsidRPr="00696BFD">
              <w:rPr>
                <w:rFonts w:cstheme="minorHAnsi"/>
                <w:b/>
                <w:bCs/>
                <w:color w:val="000000"/>
                <w:sz w:val="18"/>
                <w:szCs w:val="18"/>
              </w:rPr>
              <w:t>Auc</w:t>
            </w:r>
            <w:proofErr w:type="spellEnd"/>
            <w:r w:rsidRPr="00696BFD">
              <w:rPr>
                <w:rFonts w:cstheme="minorHAnsi"/>
                <w:b/>
                <w:bCs/>
                <w:color w:val="000000"/>
                <w:sz w:val="18"/>
                <w:szCs w:val="18"/>
              </w:rPr>
              <w:t xml:space="preserve"> 2</w:t>
            </w:r>
          </w:p>
        </w:tc>
        <w:tc>
          <w:tcPr>
            <w:tcW w:w="1756" w:type="dxa"/>
            <w:tcBorders>
              <w:top w:val="single" w:sz="4" w:space="0" w:color="auto"/>
              <w:left w:val="nil"/>
              <w:bottom w:val="single" w:sz="4" w:space="0" w:color="auto"/>
              <w:right w:val="single" w:sz="4" w:space="0" w:color="auto"/>
            </w:tcBorders>
            <w:vAlign w:val="bottom"/>
            <w:hideMark/>
          </w:tcPr>
          <w:p w14:paraId="4F71CD2C" w14:textId="1077C6D8" w:rsidR="00696BFD" w:rsidRPr="00696BFD" w:rsidRDefault="00696BFD" w:rsidP="00696BFD">
            <w:pPr>
              <w:spacing w:after="0" w:line="240" w:lineRule="auto"/>
              <w:jc w:val="center"/>
              <w:rPr>
                <w:rFonts w:eastAsia="Times New Roman" w:cstheme="minorHAnsi"/>
                <w:b/>
                <w:bCs/>
                <w:color w:val="000000"/>
                <w:sz w:val="18"/>
                <w:szCs w:val="18"/>
              </w:rPr>
            </w:pPr>
            <w:r w:rsidRPr="00696BFD">
              <w:rPr>
                <w:rFonts w:cstheme="minorHAnsi"/>
                <w:b/>
                <w:bCs/>
                <w:color w:val="000000"/>
                <w:sz w:val="18"/>
                <w:szCs w:val="18"/>
              </w:rPr>
              <w:t>Change M-o-M (bps)</w:t>
            </w:r>
          </w:p>
        </w:tc>
      </w:tr>
      <w:tr w:rsidR="00696BFD" w:rsidRPr="006F3E34" w14:paraId="06BEF2E7" w14:textId="77777777" w:rsidTr="00DE7608">
        <w:trPr>
          <w:trHeight w:val="334"/>
        </w:trPr>
        <w:tc>
          <w:tcPr>
            <w:tcW w:w="1230" w:type="dxa"/>
            <w:tcBorders>
              <w:top w:val="nil"/>
              <w:left w:val="single" w:sz="4" w:space="0" w:color="auto"/>
              <w:bottom w:val="single" w:sz="4" w:space="0" w:color="auto"/>
              <w:right w:val="single" w:sz="4" w:space="0" w:color="auto"/>
            </w:tcBorders>
            <w:noWrap/>
            <w:vAlign w:val="bottom"/>
            <w:hideMark/>
          </w:tcPr>
          <w:p w14:paraId="2C95A83D" w14:textId="4231A2DC"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000000"/>
                <w:sz w:val="18"/>
                <w:szCs w:val="18"/>
              </w:rPr>
              <w:t>91</w:t>
            </w:r>
          </w:p>
        </w:tc>
        <w:tc>
          <w:tcPr>
            <w:tcW w:w="1512" w:type="dxa"/>
            <w:tcBorders>
              <w:top w:val="nil"/>
              <w:left w:val="nil"/>
              <w:bottom w:val="single" w:sz="4" w:space="0" w:color="auto"/>
              <w:right w:val="single" w:sz="4" w:space="0" w:color="auto"/>
            </w:tcBorders>
            <w:shd w:val="clear" w:color="auto" w:fill="D9D9D9"/>
            <w:noWrap/>
            <w:vAlign w:val="bottom"/>
            <w:hideMark/>
          </w:tcPr>
          <w:p w14:paraId="0463F704" w14:textId="4310ED64"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000000"/>
                <w:sz w:val="18"/>
                <w:szCs w:val="18"/>
              </w:rPr>
              <w:t>6.00%</w:t>
            </w:r>
          </w:p>
        </w:tc>
        <w:tc>
          <w:tcPr>
            <w:tcW w:w="1677" w:type="dxa"/>
            <w:tcBorders>
              <w:top w:val="nil"/>
              <w:left w:val="nil"/>
              <w:bottom w:val="single" w:sz="4" w:space="0" w:color="auto"/>
              <w:right w:val="single" w:sz="4" w:space="0" w:color="auto"/>
            </w:tcBorders>
            <w:shd w:val="clear" w:color="auto" w:fill="FFFFFF"/>
            <w:noWrap/>
            <w:vAlign w:val="bottom"/>
            <w:hideMark/>
          </w:tcPr>
          <w:p w14:paraId="0A08198A" w14:textId="116D8854"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000000"/>
                <w:sz w:val="18"/>
                <w:szCs w:val="18"/>
              </w:rPr>
              <w:t>6.00%</w:t>
            </w:r>
          </w:p>
        </w:tc>
        <w:tc>
          <w:tcPr>
            <w:tcW w:w="1657" w:type="dxa"/>
            <w:tcBorders>
              <w:top w:val="nil"/>
              <w:left w:val="nil"/>
              <w:bottom w:val="single" w:sz="4" w:space="0" w:color="auto"/>
              <w:right w:val="single" w:sz="4" w:space="0" w:color="auto"/>
            </w:tcBorders>
            <w:shd w:val="clear" w:color="auto" w:fill="FFFFFF"/>
            <w:noWrap/>
            <w:vAlign w:val="bottom"/>
            <w:hideMark/>
          </w:tcPr>
          <w:p w14:paraId="73C888BD" w14:textId="3ADF1515"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000000"/>
                <w:sz w:val="18"/>
                <w:szCs w:val="18"/>
              </w:rPr>
              <w:t>5.30%</w:t>
            </w:r>
          </w:p>
        </w:tc>
        <w:tc>
          <w:tcPr>
            <w:tcW w:w="1756" w:type="dxa"/>
            <w:tcBorders>
              <w:top w:val="nil"/>
              <w:left w:val="nil"/>
              <w:bottom w:val="single" w:sz="4" w:space="0" w:color="auto"/>
              <w:right w:val="single" w:sz="4" w:space="0" w:color="auto"/>
            </w:tcBorders>
            <w:noWrap/>
            <w:vAlign w:val="bottom"/>
            <w:hideMark/>
          </w:tcPr>
          <w:p w14:paraId="6F32B10B" w14:textId="6396CE1D"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FF0000"/>
                <w:sz w:val="18"/>
                <w:szCs w:val="18"/>
              </w:rPr>
              <w:t>(70.00)</w:t>
            </w:r>
          </w:p>
        </w:tc>
      </w:tr>
      <w:tr w:rsidR="00696BFD" w:rsidRPr="006F3E34" w14:paraId="53A47A84" w14:textId="77777777" w:rsidTr="00DE7608">
        <w:trPr>
          <w:trHeight w:val="334"/>
        </w:trPr>
        <w:tc>
          <w:tcPr>
            <w:tcW w:w="1230" w:type="dxa"/>
            <w:tcBorders>
              <w:top w:val="nil"/>
              <w:left w:val="single" w:sz="4" w:space="0" w:color="auto"/>
              <w:bottom w:val="single" w:sz="4" w:space="0" w:color="auto"/>
              <w:right w:val="single" w:sz="4" w:space="0" w:color="auto"/>
            </w:tcBorders>
            <w:noWrap/>
            <w:vAlign w:val="bottom"/>
            <w:hideMark/>
          </w:tcPr>
          <w:p w14:paraId="66793DCA" w14:textId="38D68A71"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000000"/>
                <w:sz w:val="18"/>
                <w:szCs w:val="18"/>
              </w:rPr>
              <w:t>182</w:t>
            </w:r>
          </w:p>
        </w:tc>
        <w:tc>
          <w:tcPr>
            <w:tcW w:w="1512" w:type="dxa"/>
            <w:tcBorders>
              <w:top w:val="nil"/>
              <w:left w:val="nil"/>
              <w:bottom w:val="single" w:sz="4" w:space="0" w:color="auto"/>
              <w:right w:val="single" w:sz="4" w:space="0" w:color="auto"/>
            </w:tcBorders>
            <w:shd w:val="clear" w:color="auto" w:fill="D9D9D9"/>
            <w:noWrap/>
            <w:vAlign w:val="bottom"/>
            <w:hideMark/>
          </w:tcPr>
          <w:p w14:paraId="54445F39" w14:textId="5ABA41DC"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000000"/>
                <w:sz w:val="18"/>
                <w:szCs w:val="18"/>
              </w:rPr>
              <w:t>8.00%</w:t>
            </w:r>
          </w:p>
        </w:tc>
        <w:tc>
          <w:tcPr>
            <w:tcW w:w="1677" w:type="dxa"/>
            <w:tcBorders>
              <w:top w:val="nil"/>
              <w:left w:val="nil"/>
              <w:bottom w:val="single" w:sz="4" w:space="0" w:color="auto"/>
              <w:right w:val="single" w:sz="4" w:space="0" w:color="auto"/>
            </w:tcBorders>
            <w:shd w:val="clear" w:color="auto" w:fill="FFFFFF"/>
            <w:noWrap/>
            <w:vAlign w:val="bottom"/>
            <w:hideMark/>
          </w:tcPr>
          <w:p w14:paraId="5E05FCAD" w14:textId="098CCCC9"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000000"/>
                <w:sz w:val="18"/>
                <w:szCs w:val="18"/>
              </w:rPr>
              <w:t>8.00%</w:t>
            </w:r>
          </w:p>
        </w:tc>
        <w:tc>
          <w:tcPr>
            <w:tcW w:w="1657" w:type="dxa"/>
            <w:tcBorders>
              <w:top w:val="nil"/>
              <w:left w:val="nil"/>
              <w:bottom w:val="single" w:sz="4" w:space="0" w:color="auto"/>
              <w:right w:val="single" w:sz="4" w:space="0" w:color="auto"/>
            </w:tcBorders>
            <w:shd w:val="clear" w:color="auto" w:fill="FFFFFF"/>
            <w:noWrap/>
            <w:vAlign w:val="bottom"/>
            <w:hideMark/>
          </w:tcPr>
          <w:p w14:paraId="26BB5310" w14:textId="7B1F0E83"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000000"/>
                <w:sz w:val="18"/>
                <w:szCs w:val="18"/>
              </w:rPr>
              <w:t>8.00%</w:t>
            </w:r>
          </w:p>
        </w:tc>
        <w:tc>
          <w:tcPr>
            <w:tcW w:w="1756" w:type="dxa"/>
            <w:tcBorders>
              <w:top w:val="nil"/>
              <w:left w:val="nil"/>
              <w:bottom w:val="single" w:sz="4" w:space="0" w:color="auto"/>
              <w:right w:val="single" w:sz="4" w:space="0" w:color="auto"/>
            </w:tcBorders>
            <w:noWrap/>
            <w:vAlign w:val="bottom"/>
            <w:hideMark/>
          </w:tcPr>
          <w:p w14:paraId="7B6E5AF6" w14:textId="58253E2F"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000000"/>
                <w:sz w:val="18"/>
                <w:szCs w:val="18"/>
              </w:rPr>
              <w:t xml:space="preserve">0.00 </w:t>
            </w:r>
          </w:p>
        </w:tc>
      </w:tr>
      <w:tr w:rsidR="00696BFD" w:rsidRPr="006F3E34" w14:paraId="5FB491AC" w14:textId="77777777" w:rsidTr="00DE7608">
        <w:trPr>
          <w:trHeight w:val="334"/>
        </w:trPr>
        <w:tc>
          <w:tcPr>
            <w:tcW w:w="1230" w:type="dxa"/>
            <w:tcBorders>
              <w:top w:val="nil"/>
              <w:left w:val="single" w:sz="4" w:space="0" w:color="auto"/>
              <w:bottom w:val="single" w:sz="4" w:space="0" w:color="auto"/>
              <w:right w:val="single" w:sz="4" w:space="0" w:color="auto"/>
            </w:tcBorders>
            <w:noWrap/>
            <w:vAlign w:val="bottom"/>
            <w:hideMark/>
          </w:tcPr>
          <w:p w14:paraId="67FCEA33" w14:textId="5AAFEB67"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000000"/>
                <w:sz w:val="18"/>
                <w:szCs w:val="18"/>
              </w:rPr>
              <w:t>364</w:t>
            </w:r>
          </w:p>
        </w:tc>
        <w:tc>
          <w:tcPr>
            <w:tcW w:w="1512" w:type="dxa"/>
            <w:tcBorders>
              <w:top w:val="nil"/>
              <w:left w:val="nil"/>
              <w:bottom w:val="single" w:sz="4" w:space="0" w:color="auto"/>
              <w:right w:val="single" w:sz="4" w:space="0" w:color="auto"/>
            </w:tcBorders>
            <w:shd w:val="clear" w:color="auto" w:fill="D9D9D9"/>
            <w:noWrap/>
            <w:vAlign w:val="bottom"/>
            <w:hideMark/>
          </w:tcPr>
          <w:p w14:paraId="6CB194F8" w14:textId="141ED7A1" w:rsidR="00696BFD" w:rsidRPr="00696BFD" w:rsidRDefault="00696BFD" w:rsidP="00696BFD">
            <w:pPr>
              <w:spacing w:after="0" w:line="240" w:lineRule="auto"/>
              <w:jc w:val="center"/>
              <w:rPr>
                <w:rFonts w:eastAsia="Times New Roman" w:cstheme="minorHAnsi"/>
                <w:b/>
                <w:bCs/>
                <w:color w:val="000000"/>
                <w:sz w:val="18"/>
                <w:szCs w:val="18"/>
              </w:rPr>
            </w:pPr>
            <w:r w:rsidRPr="00696BFD">
              <w:rPr>
                <w:rFonts w:cstheme="minorHAnsi"/>
                <w:b/>
                <w:bCs/>
                <w:color w:val="000000"/>
                <w:sz w:val="18"/>
                <w:szCs w:val="18"/>
              </w:rPr>
              <w:t>14.74%</w:t>
            </w:r>
          </w:p>
        </w:tc>
        <w:tc>
          <w:tcPr>
            <w:tcW w:w="1677" w:type="dxa"/>
            <w:tcBorders>
              <w:top w:val="nil"/>
              <w:left w:val="nil"/>
              <w:bottom w:val="single" w:sz="4" w:space="0" w:color="auto"/>
              <w:right w:val="single" w:sz="4" w:space="0" w:color="auto"/>
            </w:tcBorders>
            <w:shd w:val="clear" w:color="auto" w:fill="FFFFFF"/>
            <w:noWrap/>
            <w:vAlign w:val="bottom"/>
            <w:hideMark/>
          </w:tcPr>
          <w:p w14:paraId="73ACE441" w14:textId="6B2C3080" w:rsidR="00696BFD" w:rsidRPr="00696BFD" w:rsidRDefault="00696BFD" w:rsidP="00696BFD">
            <w:pPr>
              <w:spacing w:after="0" w:line="240" w:lineRule="auto"/>
              <w:jc w:val="center"/>
              <w:rPr>
                <w:rFonts w:eastAsia="Times New Roman" w:cstheme="minorHAnsi"/>
                <w:b/>
                <w:bCs/>
                <w:color w:val="000000"/>
                <w:sz w:val="18"/>
                <w:szCs w:val="18"/>
              </w:rPr>
            </w:pPr>
            <w:r w:rsidRPr="00696BFD">
              <w:rPr>
                <w:rFonts w:cstheme="minorHAnsi"/>
                <w:b/>
                <w:bCs/>
                <w:color w:val="000000"/>
                <w:sz w:val="18"/>
                <w:szCs w:val="18"/>
              </w:rPr>
              <w:t>14.70%</w:t>
            </w:r>
          </w:p>
        </w:tc>
        <w:tc>
          <w:tcPr>
            <w:tcW w:w="1657" w:type="dxa"/>
            <w:tcBorders>
              <w:top w:val="nil"/>
              <w:left w:val="nil"/>
              <w:bottom w:val="single" w:sz="4" w:space="0" w:color="auto"/>
              <w:right w:val="single" w:sz="4" w:space="0" w:color="auto"/>
            </w:tcBorders>
            <w:shd w:val="clear" w:color="auto" w:fill="FFFFFF"/>
            <w:noWrap/>
            <w:vAlign w:val="bottom"/>
            <w:hideMark/>
          </w:tcPr>
          <w:p w14:paraId="4ABD7CAF" w14:textId="4FC8C86A" w:rsidR="00696BFD" w:rsidRPr="00696BFD" w:rsidRDefault="00696BFD" w:rsidP="00696BFD">
            <w:pPr>
              <w:spacing w:after="0" w:line="240" w:lineRule="auto"/>
              <w:jc w:val="center"/>
              <w:rPr>
                <w:rFonts w:eastAsia="Times New Roman" w:cstheme="minorHAnsi"/>
                <w:b/>
                <w:bCs/>
                <w:color w:val="000000"/>
                <w:sz w:val="18"/>
                <w:szCs w:val="18"/>
              </w:rPr>
            </w:pPr>
            <w:r w:rsidRPr="00696BFD">
              <w:rPr>
                <w:rFonts w:cstheme="minorHAnsi"/>
                <w:b/>
                <w:bCs/>
                <w:color w:val="000000"/>
                <w:sz w:val="18"/>
                <w:szCs w:val="18"/>
              </w:rPr>
              <w:t>10.17%</w:t>
            </w:r>
          </w:p>
        </w:tc>
        <w:tc>
          <w:tcPr>
            <w:tcW w:w="1756" w:type="dxa"/>
            <w:tcBorders>
              <w:top w:val="nil"/>
              <w:left w:val="nil"/>
              <w:bottom w:val="single" w:sz="4" w:space="0" w:color="auto"/>
              <w:right w:val="single" w:sz="4" w:space="0" w:color="auto"/>
            </w:tcBorders>
            <w:noWrap/>
            <w:vAlign w:val="bottom"/>
            <w:hideMark/>
          </w:tcPr>
          <w:p w14:paraId="62653524" w14:textId="53A7FA82" w:rsidR="00696BFD" w:rsidRPr="00696BFD" w:rsidRDefault="00696BFD" w:rsidP="00696BFD">
            <w:pPr>
              <w:spacing w:after="0" w:line="240" w:lineRule="auto"/>
              <w:jc w:val="center"/>
              <w:rPr>
                <w:rFonts w:eastAsia="Times New Roman" w:cstheme="minorHAnsi"/>
                <w:color w:val="000000"/>
                <w:sz w:val="18"/>
                <w:szCs w:val="18"/>
              </w:rPr>
            </w:pPr>
            <w:r w:rsidRPr="00696BFD">
              <w:rPr>
                <w:rFonts w:cstheme="minorHAnsi"/>
                <w:color w:val="FF0000"/>
                <w:sz w:val="18"/>
                <w:szCs w:val="18"/>
              </w:rPr>
              <w:t>(457.00)</w:t>
            </w:r>
          </w:p>
        </w:tc>
      </w:tr>
    </w:tbl>
    <w:p w14:paraId="444E65B6" w14:textId="70D22677" w:rsidR="0091629D" w:rsidRPr="00640EE1" w:rsidRDefault="0091629D" w:rsidP="000A6C89">
      <w:pPr>
        <w:pBdr>
          <w:top w:val="single" w:sz="4" w:space="1" w:color="auto"/>
        </w:pBdr>
        <w:spacing w:line="360" w:lineRule="auto"/>
        <w:jc w:val="both"/>
        <w:rPr>
          <w:rFonts w:cstheme="minorHAnsi"/>
          <w:b/>
          <w:bCs/>
          <w:sz w:val="18"/>
          <w:szCs w:val="18"/>
        </w:rPr>
      </w:pPr>
      <w:r w:rsidRPr="72409F61">
        <w:rPr>
          <w:b/>
          <w:bCs/>
          <w:sz w:val="18"/>
          <w:szCs w:val="18"/>
        </w:rPr>
        <w:t>Source: CBN, AIICO Capital</w:t>
      </w:r>
    </w:p>
    <w:p w14:paraId="390EB9B1" w14:textId="224FB418" w:rsidR="007D3FD1" w:rsidRPr="00BB6C7F" w:rsidRDefault="00DC3827" w:rsidP="0046270F">
      <w:pPr>
        <w:spacing w:line="360" w:lineRule="auto"/>
        <w:jc w:val="both"/>
        <w:rPr>
          <w:rFonts w:cstheme="minorHAnsi"/>
          <w:sz w:val="18"/>
          <w:szCs w:val="18"/>
        </w:rPr>
      </w:pPr>
      <w:r w:rsidRPr="00F36964">
        <w:rPr>
          <w:rFonts w:cstheme="minorHAnsi"/>
          <w:b/>
          <w:color w:val="000000" w:themeColor="text1"/>
          <w:sz w:val="20"/>
          <w:szCs w:val="20"/>
          <w:u w:val="single"/>
        </w:rPr>
        <w:t>Outlook:</w:t>
      </w:r>
      <w:r>
        <w:rPr>
          <w:rFonts w:cstheme="minorHAnsi"/>
          <w:b/>
          <w:color w:val="000000" w:themeColor="text1"/>
          <w:sz w:val="20"/>
          <w:szCs w:val="20"/>
        </w:rPr>
        <w:t xml:space="preserve"> </w:t>
      </w:r>
      <w:r w:rsidR="005F3664" w:rsidRPr="005F3664">
        <w:rPr>
          <w:rFonts w:cstheme="minorHAnsi"/>
          <w:sz w:val="18"/>
          <w:szCs w:val="18"/>
        </w:rPr>
        <w:t xml:space="preserve">The NTB primary market rates are expected to trend upwards amid increased issuances by the DMO in addition to the rollover of </w:t>
      </w:r>
      <w:r w:rsidR="00EE319C">
        <w:rPr>
          <w:rFonts w:cstheme="minorHAnsi"/>
          <w:sz w:val="18"/>
          <w:szCs w:val="18"/>
        </w:rPr>
        <w:t xml:space="preserve">the </w:t>
      </w:r>
      <w:r w:rsidR="005F3664" w:rsidRPr="005F3664">
        <w:rPr>
          <w:rFonts w:cstheme="minorHAnsi"/>
          <w:sz w:val="18"/>
          <w:szCs w:val="18"/>
        </w:rPr>
        <w:t xml:space="preserve">maturing bills (c.₦281.09 billion). Secondary market activity should be </w:t>
      </w:r>
      <w:proofErr w:type="gramStart"/>
      <w:r w:rsidR="005F3664" w:rsidRPr="005F3664">
        <w:rPr>
          <w:rFonts w:cstheme="minorHAnsi"/>
          <w:sz w:val="18"/>
          <w:szCs w:val="18"/>
        </w:rPr>
        <w:t>fairly quiet</w:t>
      </w:r>
      <w:proofErr w:type="gramEnd"/>
      <w:r w:rsidR="005F3664" w:rsidRPr="005F3664">
        <w:rPr>
          <w:rFonts w:cstheme="minorHAnsi"/>
          <w:sz w:val="18"/>
          <w:szCs w:val="18"/>
        </w:rPr>
        <w:t>, with late buyside interest driven by FAAC inflows</w:t>
      </w:r>
      <w:r w:rsidR="00704F95" w:rsidRPr="00704F95">
        <w:rPr>
          <w:rFonts w:cstheme="minorHAnsi"/>
          <w:sz w:val="18"/>
          <w:szCs w:val="18"/>
        </w:rPr>
        <w:t>.</w:t>
      </w:r>
      <w:r w:rsidR="00BB6C7F">
        <w:rPr>
          <w:rFonts w:cstheme="minorHAnsi"/>
          <w:sz w:val="18"/>
          <w:szCs w:val="18"/>
        </w:rPr>
        <w:t xml:space="preserve"> </w:t>
      </w:r>
    </w:p>
    <w:p w14:paraId="08840448" w14:textId="77777777" w:rsidR="00BE3B7C" w:rsidRPr="007D3FD1" w:rsidRDefault="00BE3B7C" w:rsidP="0046270F">
      <w:pPr>
        <w:spacing w:line="360" w:lineRule="auto"/>
        <w:jc w:val="both"/>
        <w:rPr>
          <w:rFonts w:cstheme="minorHAnsi"/>
          <w:b/>
          <w:bCs/>
          <w:color w:val="000000" w:themeColor="text1"/>
          <w:sz w:val="16"/>
          <w:szCs w:val="16"/>
        </w:rPr>
      </w:pPr>
    </w:p>
    <w:p w14:paraId="04C12913" w14:textId="4A579C24" w:rsidR="002033B3" w:rsidRDefault="008D5A37" w:rsidP="00517B93">
      <w:pPr>
        <w:spacing w:line="360" w:lineRule="auto"/>
        <w:jc w:val="both"/>
        <w:rPr>
          <w:b/>
          <w:bCs/>
          <w:i/>
          <w:iCs/>
          <w:color w:val="595959" w:themeColor="text1" w:themeTint="A6"/>
          <w:sz w:val="20"/>
          <w:szCs w:val="20"/>
        </w:rPr>
      </w:pPr>
      <w:r>
        <w:rPr>
          <w:b/>
          <w:bCs/>
          <w:color w:val="000000" w:themeColor="text1"/>
          <w:sz w:val="20"/>
          <w:szCs w:val="20"/>
          <w:u w:val="single"/>
        </w:rPr>
        <w:t xml:space="preserve">FGN </w:t>
      </w:r>
      <w:r w:rsidR="00E56EEE" w:rsidRPr="008D5A37">
        <w:rPr>
          <w:b/>
          <w:bCs/>
          <w:color w:val="000000" w:themeColor="text1"/>
          <w:sz w:val="20"/>
          <w:szCs w:val="20"/>
          <w:u w:val="single"/>
        </w:rPr>
        <w:t>Bonds Market Review and Outlook</w:t>
      </w:r>
      <w:r>
        <w:rPr>
          <w:b/>
          <w:bCs/>
          <w:color w:val="000000" w:themeColor="text1"/>
          <w:sz w:val="20"/>
          <w:szCs w:val="20"/>
          <w:u w:val="single"/>
        </w:rPr>
        <w:t xml:space="preserve"> </w:t>
      </w:r>
      <w:r w:rsidRPr="008D5A37">
        <w:rPr>
          <w:b/>
          <w:bCs/>
          <w:color w:val="000000" w:themeColor="text1"/>
          <w:sz w:val="20"/>
          <w:szCs w:val="20"/>
        </w:rPr>
        <w:t xml:space="preserve">- </w:t>
      </w:r>
      <w:r w:rsidR="002033B3" w:rsidRPr="002033B3">
        <w:rPr>
          <w:b/>
          <w:bCs/>
          <w:i/>
          <w:iCs/>
          <w:color w:val="595959" w:themeColor="text1" w:themeTint="A6"/>
          <w:sz w:val="20"/>
          <w:szCs w:val="20"/>
        </w:rPr>
        <w:t xml:space="preserve">Mixed market sentiments; late buying spurred by bond coupon and maturity. </w:t>
      </w:r>
    </w:p>
    <w:p w14:paraId="16F2C3AC" w14:textId="77777777" w:rsidR="0040612D" w:rsidRPr="0040612D" w:rsidRDefault="0040612D" w:rsidP="0040612D">
      <w:pPr>
        <w:spacing w:line="360" w:lineRule="auto"/>
        <w:jc w:val="both"/>
        <w:rPr>
          <w:rFonts w:cstheme="minorHAnsi"/>
          <w:sz w:val="18"/>
          <w:szCs w:val="18"/>
        </w:rPr>
      </w:pPr>
      <w:r w:rsidRPr="0040612D">
        <w:rPr>
          <w:rFonts w:cstheme="minorHAnsi"/>
          <w:sz w:val="18"/>
          <w:szCs w:val="18"/>
        </w:rPr>
        <w:t>With the 2037 and 2049 papers retired by the DMO and replaced with 2042 and 2050 papers based on Q2’2023 FGN bond issuance calendar, investors shifted their attention to the on-the-run papers with mixed trading sentiments, albeit not much activity was recorded in the early periods.</w:t>
      </w:r>
    </w:p>
    <w:p w14:paraId="7A4968A2" w14:textId="77777777" w:rsidR="0040612D" w:rsidRPr="0040612D" w:rsidRDefault="0040612D" w:rsidP="0040612D">
      <w:pPr>
        <w:spacing w:line="360" w:lineRule="auto"/>
        <w:jc w:val="both"/>
        <w:rPr>
          <w:rFonts w:cstheme="minorHAnsi"/>
          <w:sz w:val="18"/>
          <w:szCs w:val="18"/>
        </w:rPr>
      </w:pPr>
      <w:r w:rsidRPr="0040612D">
        <w:rPr>
          <w:rFonts w:cstheme="minorHAnsi"/>
          <w:sz w:val="18"/>
          <w:szCs w:val="18"/>
        </w:rPr>
        <w:t xml:space="preserve">The dearth of liquidity practically caused muted trading sessions, as consummated volumes were few and far between. However, slight buying interests were observed </w:t>
      </w:r>
      <w:proofErr w:type="gramStart"/>
      <w:r w:rsidRPr="0040612D">
        <w:rPr>
          <w:rFonts w:cstheme="minorHAnsi"/>
          <w:sz w:val="18"/>
          <w:szCs w:val="18"/>
        </w:rPr>
        <w:t>on 2037</w:t>
      </w:r>
      <w:proofErr w:type="gramEnd"/>
      <w:r w:rsidRPr="0040612D">
        <w:rPr>
          <w:rFonts w:cstheme="minorHAnsi"/>
          <w:sz w:val="18"/>
          <w:szCs w:val="18"/>
        </w:rPr>
        <w:t>s and 2049s by a few large ticket players due to their attractive coupons and yield levels.</w:t>
      </w:r>
    </w:p>
    <w:p w14:paraId="6D40162B" w14:textId="27CFE6D0" w:rsidR="0040612D" w:rsidRPr="0040612D" w:rsidRDefault="0040612D" w:rsidP="0040612D">
      <w:pPr>
        <w:spacing w:line="360" w:lineRule="auto"/>
        <w:jc w:val="both"/>
        <w:rPr>
          <w:rFonts w:cstheme="minorHAnsi"/>
          <w:sz w:val="18"/>
          <w:szCs w:val="18"/>
        </w:rPr>
      </w:pPr>
      <w:r w:rsidRPr="0040612D">
        <w:rPr>
          <w:rFonts w:cstheme="minorHAnsi"/>
          <w:sz w:val="18"/>
          <w:szCs w:val="18"/>
        </w:rPr>
        <w:t xml:space="preserve">Building up to the FGN bond auction, market participants took position on the auctioned papers and sold off in anticipation of higher closing yields at the auction. At the auction, the DMO carefully managed </w:t>
      </w:r>
      <w:r w:rsidR="00ED1673">
        <w:rPr>
          <w:rFonts w:cstheme="minorHAnsi"/>
          <w:sz w:val="18"/>
          <w:szCs w:val="18"/>
        </w:rPr>
        <w:t>rate expectation</w:t>
      </w:r>
      <w:r w:rsidRPr="0040612D">
        <w:rPr>
          <w:rFonts w:cstheme="minorHAnsi"/>
          <w:sz w:val="18"/>
          <w:szCs w:val="18"/>
        </w:rPr>
        <w:t xml:space="preserve"> by using non-competitive bids (a total of c.₦183.80 billion in addition to the competitive allotment of c.₦367.60 billion) to make up for the </w:t>
      </w:r>
      <w:r w:rsidR="00ED1673">
        <w:rPr>
          <w:rFonts w:cstheme="minorHAnsi"/>
          <w:sz w:val="18"/>
          <w:szCs w:val="18"/>
        </w:rPr>
        <w:t xml:space="preserve">low </w:t>
      </w:r>
      <w:r w:rsidRPr="0040612D">
        <w:rPr>
          <w:rFonts w:cstheme="minorHAnsi"/>
          <w:sz w:val="18"/>
          <w:szCs w:val="18"/>
        </w:rPr>
        <w:t>competitive subscription. The marginal yield on the 2028s was maintained, while that of 2032s declined by 5bps. Conversely, the stop yields on 2042s and 2050s were 20bps and 5bps higher respectively compared to where the related tenors of 2037s and 2049s closed at the Mar’23 auction.</w:t>
      </w:r>
    </w:p>
    <w:p w14:paraId="2D4A4680" w14:textId="4E9F719F" w:rsidR="00D158A6" w:rsidRPr="00D158A6" w:rsidRDefault="0040612D" w:rsidP="0040612D">
      <w:pPr>
        <w:spacing w:line="360" w:lineRule="auto"/>
        <w:jc w:val="both"/>
        <w:rPr>
          <w:rFonts w:cstheme="minorHAnsi"/>
          <w:sz w:val="18"/>
          <w:szCs w:val="18"/>
        </w:rPr>
      </w:pPr>
      <w:r w:rsidRPr="0040612D">
        <w:rPr>
          <w:rFonts w:cstheme="minorHAnsi"/>
          <w:sz w:val="18"/>
          <w:szCs w:val="18"/>
        </w:rPr>
        <w:t>Post auction trading sessions were met with renewed buying interests, driven by coupon inflows and bond maturity. Most of the activity was skewed to 2037s, 2042s,2049s and 2050s</w:t>
      </w:r>
      <w:r w:rsidR="00517B93">
        <w:rPr>
          <w:rFonts w:cstheme="minorHAnsi"/>
          <w:sz w:val="18"/>
          <w:szCs w:val="18"/>
        </w:rPr>
        <w:t>.</w:t>
      </w:r>
      <w:r w:rsidR="00D158A6" w:rsidRPr="00D158A6">
        <w:rPr>
          <w:rFonts w:cstheme="minorHAnsi"/>
          <w:sz w:val="18"/>
          <w:szCs w:val="18"/>
        </w:rPr>
        <w:t xml:space="preserve"> </w:t>
      </w:r>
    </w:p>
    <w:p w14:paraId="16BB800D" w14:textId="77777777" w:rsidR="0040612D" w:rsidRDefault="0040612D" w:rsidP="006C4331">
      <w:pPr>
        <w:spacing w:line="240" w:lineRule="auto"/>
        <w:jc w:val="both"/>
        <w:rPr>
          <w:rFonts w:cstheme="minorHAnsi"/>
          <w:sz w:val="18"/>
          <w:szCs w:val="18"/>
        </w:rPr>
      </w:pPr>
      <w:r w:rsidRPr="0040612D">
        <w:rPr>
          <w:rFonts w:cstheme="minorHAnsi"/>
          <w:sz w:val="18"/>
          <w:szCs w:val="18"/>
        </w:rPr>
        <w:t xml:space="preserve">Overall, average mid-yield in the secondary market inched up marginally by c.1bp M-o-M to close at 14.10%. </w:t>
      </w:r>
    </w:p>
    <w:p w14:paraId="07D4679C" w14:textId="15D32556" w:rsidR="00361A74" w:rsidRDefault="000B510A" w:rsidP="006C4331">
      <w:pPr>
        <w:spacing w:line="240" w:lineRule="auto"/>
        <w:jc w:val="both"/>
        <w:rPr>
          <w:b/>
          <w:bCs/>
          <w:sz w:val="18"/>
          <w:szCs w:val="18"/>
        </w:rPr>
      </w:pPr>
      <w:r>
        <w:rPr>
          <w:b/>
          <w:bCs/>
          <w:noProof/>
          <w:sz w:val="18"/>
          <w:szCs w:val="18"/>
        </w:rPr>
        <mc:AlternateContent>
          <mc:Choice Requires="wps">
            <w:drawing>
              <wp:anchor distT="0" distB="0" distL="114300" distR="114300" simplePos="0" relativeHeight="251693061" behindDoc="0" locked="0" layoutInCell="1" allowOverlap="1" wp14:anchorId="6DBCB385" wp14:editId="20118C38">
                <wp:simplePos x="0" y="0"/>
                <wp:positionH relativeFrom="column">
                  <wp:posOffset>-22860</wp:posOffset>
                </wp:positionH>
                <wp:positionV relativeFrom="paragraph">
                  <wp:posOffset>116205</wp:posOffset>
                </wp:positionV>
                <wp:extent cx="6416040" cy="15240"/>
                <wp:effectExtent l="0" t="0" r="22860" b="22860"/>
                <wp:wrapNone/>
                <wp:docPr id="12" name="Straight Connector 12"/>
                <wp:cNvGraphicFramePr/>
                <a:graphic xmlns:a="http://schemas.openxmlformats.org/drawingml/2006/main">
                  <a:graphicData uri="http://schemas.microsoft.com/office/word/2010/wordprocessingShape">
                    <wps:wsp>
                      <wps:cNvCnPr/>
                      <wps:spPr>
                        <a:xfrm flipV="1">
                          <a:off x="0" y="0"/>
                          <a:ext cx="64160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990E9" id="Straight Connector 12" o:spid="_x0000_s1026" style="position:absolute;flip:y;z-index:251693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15pt" to="503.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" strokecolor="black [3200]" strokeweight=".5pt">
                <v:stroke joinstyle="miter"/>
              </v:line>
            </w:pict>
          </mc:Fallback>
        </mc:AlternateContent>
      </w:r>
      <w:r w:rsidR="00545B41">
        <w:rPr>
          <w:b/>
          <w:bCs/>
          <w:sz w:val="18"/>
          <w:szCs w:val="18"/>
        </w:rPr>
        <w:t>Table 2</w:t>
      </w:r>
      <w:r w:rsidR="00361A74" w:rsidRPr="72409F61">
        <w:rPr>
          <w:b/>
          <w:bCs/>
          <w:sz w:val="18"/>
          <w:szCs w:val="18"/>
        </w:rPr>
        <w:t xml:space="preserve"> – </w:t>
      </w:r>
      <w:r w:rsidR="00C74012">
        <w:rPr>
          <w:b/>
          <w:bCs/>
          <w:sz w:val="18"/>
          <w:szCs w:val="18"/>
        </w:rPr>
        <w:t>April</w:t>
      </w:r>
      <w:r w:rsidR="00D02E65">
        <w:rPr>
          <w:b/>
          <w:bCs/>
          <w:sz w:val="18"/>
          <w:szCs w:val="18"/>
        </w:rPr>
        <w:t xml:space="preserve"> </w:t>
      </w:r>
      <w:r w:rsidR="00E56A54">
        <w:rPr>
          <w:b/>
          <w:bCs/>
          <w:sz w:val="18"/>
          <w:szCs w:val="18"/>
        </w:rPr>
        <w:t>202</w:t>
      </w:r>
      <w:r w:rsidR="00D158A6">
        <w:rPr>
          <w:b/>
          <w:bCs/>
          <w:sz w:val="18"/>
          <w:szCs w:val="18"/>
        </w:rPr>
        <w:t>3</w:t>
      </w:r>
      <w:r w:rsidR="00E56A54">
        <w:rPr>
          <w:b/>
          <w:bCs/>
          <w:sz w:val="18"/>
          <w:szCs w:val="18"/>
        </w:rPr>
        <w:t xml:space="preserve"> </w:t>
      </w:r>
      <w:r w:rsidR="00545B41">
        <w:rPr>
          <w:b/>
          <w:bCs/>
          <w:sz w:val="18"/>
          <w:szCs w:val="18"/>
        </w:rPr>
        <w:t>FGN</w:t>
      </w:r>
      <w:r w:rsidR="00361A74" w:rsidRPr="72409F61">
        <w:rPr>
          <w:b/>
          <w:bCs/>
          <w:sz w:val="18"/>
          <w:szCs w:val="18"/>
        </w:rPr>
        <w:t xml:space="preserve"> Bonds</w:t>
      </w:r>
      <w:r w:rsidR="00B607C4" w:rsidRPr="72409F61">
        <w:rPr>
          <w:b/>
          <w:bCs/>
          <w:sz w:val="18"/>
          <w:szCs w:val="18"/>
        </w:rPr>
        <w:t xml:space="preserve"> </w:t>
      </w:r>
      <w:r w:rsidR="00361A74" w:rsidRPr="72409F61">
        <w:rPr>
          <w:b/>
          <w:bCs/>
          <w:sz w:val="18"/>
          <w:szCs w:val="18"/>
        </w:rPr>
        <w:t>Auction</w:t>
      </w:r>
      <w:r w:rsidR="00B607C4" w:rsidRPr="72409F61">
        <w:rPr>
          <w:b/>
          <w:bCs/>
          <w:sz w:val="18"/>
          <w:szCs w:val="18"/>
        </w:rPr>
        <w:t xml:space="preserve"> Result</w:t>
      </w:r>
    </w:p>
    <w:tbl>
      <w:tblPr>
        <w:tblW w:w="8455" w:type="dxa"/>
        <w:tblLook w:val="04A0" w:firstRow="1" w:lastRow="0" w:firstColumn="1" w:lastColumn="0" w:noHBand="0" w:noVBand="1"/>
      </w:tblPr>
      <w:tblGrid>
        <w:gridCol w:w="1023"/>
        <w:gridCol w:w="1284"/>
        <w:gridCol w:w="1127"/>
        <w:gridCol w:w="1234"/>
        <w:gridCol w:w="784"/>
        <w:gridCol w:w="1238"/>
        <w:gridCol w:w="1765"/>
      </w:tblGrid>
      <w:tr w:rsidR="00D158A6" w:rsidRPr="00D158A6" w14:paraId="33C9393A" w14:textId="77777777" w:rsidTr="00516004">
        <w:trPr>
          <w:trHeight w:val="288"/>
        </w:trPr>
        <w:tc>
          <w:tcPr>
            <w:tcW w:w="8455" w:type="dxa"/>
            <w:gridSpan w:val="7"/>
            <w:tcBorders>
              <w:top w:val="nil"/>
              <w:left w:val="single" w:sz="4" w:space="0" w:color="auto"/>
              <w:bottom w:val="nil"/>
              <w:right w:val="nil"/>
            </w:tcBorders>
            <w:shd w:val="clear" w:color="000000" w:fill="002060"/>
            <w:noWrap/>
            <w:vAlign w:val="center"/>
            <w:hideMark/>
          </w:tcPr>
          <w:p w14:paraId="341F6743" w14:textId="0DDC4FA4" w:rsidR="00D158A6" w:rsidRPr="00D158A6" w:rsidRDefault="001B0ABB" w:rsidP="00516004">
            <w:pPr>
              <w:spacing w:after="0" w:line="240" w:lineRule="auto"/>
              <w:jc w:val="center"/>
              <w:rPr>
                <w:rFonts w:eastAsia="Times New Roman" w:cstheme="minorHAnsi"/>
                <w:b/>
                <w:bCs/>
                <w:color w:val="FFFFFF"/>
                <w:sz w:val="18"/>
                <w:szCs w:val="18"/>
              </w:rPr>
            </w:pPr>
            <w:r>
              <w:rPr>
                <w:rFonts w:eastAsia="Times New Roman" w:cstheme="minorHAnsi"/>
                <w:b/>
                <w:bCs/>
                <w:color w:val="FFFFFF"/>
                <w:sz w:val="18"/>
                <w:szCs w:val="18"/>
              </w:rPr>
              <w:t>MARCH</w:t>
            </w:r>
            <w:r w:rsidR="00D158A6" w:rsidRPr="00D158A6">
              <w:rPr>
                <w:rFonts w:eastAsia="Times New Roman" w:cstheme="minorHAnsi"/>
                <w:b/>
                <w:bCs/>
                <w:color w:val="FFFFFF"/>
                <w:sz w:val="18"/>
                <w:szCs w:val="18"/>
              </w:rPr>
              <w:t xml:space="preserve"> 2023 BOND AUCTION RESULT</w:t>
            </w:r>
          </w:p>
        </w:tc>
      </w:tr>
      <w:tr w:rsidR="00102664" w:rsidRPr="00D158A6" w14:paraId="111F5D98" w14:textId="77777777" w:rsidTr="00DB1901">
        <w:trPr>
          <w:trHeight w:val="305"/>
        </w:trPr>
        <w:tc>
          <w:tcPr>
            <w:tcW w:w="1023" w:type="dxa"/>
            <w:tcBorders>
              <w:top w:val="single" w:sz="4" w:space="0" w:color="auto"/>
              <w:left w:val="single" w:sz="4" w:space="0" w:color="auto"/>
              <w:bottom w:val="single" w:sz="4" w:space="0" w:color="auto"/>
              <w:right w:val="single" w:sz="4" w:space="0" w:color="auto"/>
            </w:tcBorders>
            <w:noWrap/>
            <w:vAlign w:val="bottom"/>
            <w:hideMark/>
          </w:tcPr>
          <w:p w14:paraId="49A52F46" w14:textId="7A41D8FA"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Maturity</w:t>
            </w:r>
          </w:p>
        </w:tc>
        <w:tc>
          <w:tcPr>
            <w:tcW w:w="1284" w:type="dxa"/>
            <w:tcBorders>
              <w:top w:val="single" w:sz="4" w:space="0" w:color="auto"/>
              <w:left w:val="nil"/>
              <w:bottom w:val="single" w:sz="4" w:space="0" w:color="auto"/>
              <w:right w:val="single" w:sz="4" w:space="0" w:color="auto"/>
            </w:tcBorders>
            <w:noWrap/>
            <w:vAlign w:val="bottom"/>
            <w:hideMark/>
          </w:tcPr>
          <w:p w14:paraId="61137C06" w14:textId="3A3DA1B0"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Offer (₦'bn)</w:t>
            </w:r>
          </w:p>
        </w:tc>
        <w:tc>
          <w:tcPr>
            <w:tcW w:w="1127" w:type="dxa"/>
            <w:tcBorders>
              <w:top w:val="single" w:sz="4" w:space="0" w:color="auto"/>
              <w:left w:val="nil"/>
              <w:bottom w:val="single" w:sz="4" w:space="0" w:color="auto"/>
              <w:right w:val="single" w:sz="4" w:space="0" w:color="auto"/>
            </w:tcBorders>
            <w:noWrap/>
            <w:vAlign w:val="bottom"/>
            <w:hideMark/>
          </w:tcPr>
          <w:p w14:paraId="4389EC17" w14:textId="2490DCEC"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Sub (₦'bn)</w:t>
            </w:r>
          </w:p>
        </w:tc>
        <w:tc>
          <w:tcPr>
            <w:tcW w:w="1234" w:type="dxa"/>
            <w:tcBorders>
              <w:top w:val="single" w:sz="4" w:space="0" w:color="auto"/>
              <w:left w:val="nil"/>
              <w:bottom w:val="single" w:sz="4" w:space="0" w:color="auto"/>
              <w:right w:val="single" w:sz="4" w:space="0" w:color="auto"/>
            </w:tcBorders>
            <w:noWrap/>
            <w:vAlign w:val="bottom"/>
            <w:hideMark/>
          </w:tcPr>
          <w:p w14:paraId="1D32F624" w14:textId="6ED17D64"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Allot (₦'bn)</w:t>
            </w:r>
          </w:p>
        </w:tc>
        <w:tc>
          <w:tcPr>
            <w:tcW w:w="784" w:type="dxa"/>
            <w:tcBorders>
              <w:top w:val="single" w:sz="4" w:space="0" w:color="auto"/>
              <w:left w:val="nil"/>
              <w:bottom w:val="single" w:sz="4" w:space="0" w:color="auto"/>
              <w:right w:val="single" w:sz="4" w:space="0" w:color="auto"/>
            </w:tcBorders>
            <w:noWrap/>
            <w:vAlign w:val="bottom"/>
            <w:hideMark/>
          </w:tcPr>
          <w:p w14:paraId="47197701" w14:textId="0AC580BD"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Yield</w:t>
            </w:r>
          </w:p>
        </w:tc>
        <w:tc>
          <w:tcPr>
            <w:tcW w:w="1238" w:type="dxa"/>
            <w:tcBorders>
              <w:top w:val="single" w:sz="4" w:space="0" w:color="auto"/>
              <w:left w:val="nil"/>
              <w:bottom w:val="single" w:sz="4" w:space="0" w:color="auto"/>
              <w:right w:val="single" w:sz="4" w:space="0" w:color="auto"/>
            </w:tcBorders>
            <w:noWrap/>
            <w:vAlign w:val="bottom"/>
            <w:hideMark/>
          </w:tcPr>
          <w:p w14:paraId="36F7367C" w14:textId="5709A062"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Mar'23 Close</w:t>
            </w:r>
          </w:p>
        </w:tc>
        <w:tc>
          <w:tcPr>
            <w:tcW w:w="1765" w:type="dxa"/>
            <w:tcBorders>
              <w:top w:val="single" w:sz="4" w:space="0" w:color="auto"/>
              <w:left w:val="nil"/>
              <w:bottom w:val="single" w:sz="4" w:space="0" w:color="auto"/>
              <w:right w:val="single" w:sz="4" w:space="0" w:color="auto"/>
            </w:tcBorders>
            <w:noWrap/>
            <w:vAlign w:val="bottom"/>
            <w:hideMark/>
          </w:tcPr>
          <w:p w14:paraId="44F1F3B6" w14:textId="5C84E153"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Change M-o-M (bps)</w:t>
            </w:r>
          </w:p>
        </w:tc>
      </w:tr>
      <w:tr w:rsidR="00102664" w:rsidRPr="00D158A6" w14:paraId="4912A842" w14:textId="77777777" w:rsidTr="00DB1901">
        <w:trPr>
          <w:trHeight w:val="288"/>
        </w:trPr>
        <w:tc>
          <w:tcPr>
            <w:tcW w:w="1023" w:type="dxa"/>
            <w:tcBorders>
              <w:top w:val="nil"/>
              <w:left w:val="single" w:sz="4" w:space="0" w:color="auto"/>
              <w:bottom w:val="single" w:sz="4" w:space="0" w:color="auto"/>
              <w:right w:val="single" w:sz="4" w:space="0" w:color="auto"/>
            </w:tcBorders>
            <w:noWrap/>
            <w:vAlign w:val="bottom"/>
            <w:hideMark/>
          </w:tcPr>
          <w:p w14:paraId="7B5646D7" w14:textId="539879B3" w:rsidR="00102664" w:rsidRPr="00102664" w:rsidRDefault="00102664" w:rsidP="00102664">
            <w:pPr>
              <w:spacing w:after="0" w:line="240" w:lineRule="auto"/>
              <w:jc w:val="center"/>
              <w:rPr>
                <w:rFonts w:eastAsia="Times New Roman" w:cstheme="minorHAnsi"/>
                <w:color w:val="000000"/>
                <w:sz w:val="18"/>
                <w:szCs w:val="18"/>
              </w:rPr>
            </w:pPr>
            <w:r w:rsidRPr="00102664">
              <w:rPr>
                <w:rFonts w:cstheme="minorHAnsi"/>
                <w:color w:val="000000"/>
                <w:sz w:val="18"/>
                <w:szCs w:val="18"/>
              </w:rPr>
              <w:t>23-Feb-28</w:t>
            </w:r>
          </w:p>
        </w:tc>
        <w:tc>
          <w:tcPr>
            <w:tcW w:w="1284" w:type="dxa"/>
            <w:tcBorders>
              <w:top w:val="nil"/>
              <w:left w:val="nil"/>
              <w:bottom w:val="single" w:sz="4" w:space="0" w:color="auto"/>
              <w:right w:val="single" w:sz="4" w:space="0" w:color="auto"/>
            </w:tcBorders>
            <w:noWrap/>
            <w:vAlign w:val="bottom"/>
            <w:hideMark/>
          </w:tcPr>
          <w:p w14:paraId="37E88FE8" w14:textId="5A22712D" w:rsidR="00102664" w:rsidRPr="00102664" w:rsidRDefault="00102664" w:rsidP="00102664">
            <w:pPr>
              <w:spacing w:after="0" w:line="240" w:lineRule="auto"/>
              <w:jc w:val="center"/>
              <w:rPr>
                <w:rFonts w:eastAsia="Times New Roman" w:cstheme="minorHAnsi"/>
                <w:color w:val="000000"/>
                <w:sz w:val="18"/>
                <w:szCs w:val="18"/>
              </w:rPr>
            </w:pPr>
            <w:r w:rsidRPr="00102664">
              <w:rPr>
                <w:rFonts w:cstheme="minorHAnsi"/>
                <w:color w:val="000000"/>
                <w:sz w:val="18"/>
                <w:szCs w:val="18"/>
              </w:rPr>
              <w:t>90.00</w:t>
            </w:r>
          </w:p>
        </w:tc>
        <w:tc>
          <w:tcPr>
            <w:tcW w:w="1127" w:type="dxa"/>
            <w:tcBorders>
              <w:top w:val="nil"/>
              <w:left w:val="nil"/>
              <w:bottom w:val="single" w:sz="4" w:space="0" w:color="auto"/>
              <w:right w:val="single" w:sz="4" w:space="0" w:color="auto"/>
            </w:tcBorders>
            <w:noWrap/>
            <w:vAlign w:val="bottom"/>
            <w:hideMark/>
          </w:tcPr>
          <w:p w14:paraId="6FE57D09" w14:textId="5ED78A77" w:rsidR="00102664" w:rsidRPr="00102664" w:rsidRDefault="00102664" w:rsidP="00102664">
            <w:pPr>
              <w:spacing w:after="0" w:line="240" w:lineRule="auto"/>
              <w:jc w:val="center"/>
              <w:rPr>
                <w:rFonts w:eastAsia="Times New Roman" w:cstheme="minorHAnsi"/>
                <w:color w:val="000000"/>
                <w:sz w:val="18"/>
                <w:szCs w:val="18"/>
              </w:rPr>
            </w:pPr>
            <w:r w:rsidRPr="00102664">
              <w:rPr>
                <w:rFonts w:cstheme="minorHAnsi"/>
                <w:color w:val="000000"/>
                <w:sz w:val="18"/>
                <w:szCs w:val="18"/>
              </w:rPr>
              <w:t>14.00</w:t>
            </w:r>
          </w:p>
        </w:tc>
        <w:tc>
          <w:tcPr>
            <w:tcW w:w="1234" w:type="dxa"/>
            <w:tcBorders>
              <w:top w:val="nil"/>
              <w:left w:val="nil"/>
              <w:bottom w:val="single" w:sz="4" w:space="0" w:color="auto"/>
              <w:right w:val="single" w:sz="4" w:space="0" w:color="auto"/>
            </w:tcBorders>
            <w:noWrap/>
            <w:vAlign w:val="bottom"/>
            <w:hideMark/>
          </w:tcPr>
          <w:p w14:paraId="51FAC698" w14:textId="1396D6D5" w:rsidR="00102664" w:rsidRPr="00102664" w:rsidRDefault="00102664" w:rsidP="00102664">
            <w:pPr>
              <w:spacing w:after="0" w:line="240" w:lineRule="auto"/>
              <w:jc w:val="center"/>
              <w:rPr>
                <w:rFonts w:eastAsia="Times New Roman" w:cstheme="minorHAnsi"/>
                <w:color w:val="000000"/>
                <w:sz w:val="18"/>
                <w:szCs w:val="18"/>
              </w:rPr>
            </w:pPr>
            <w:r w:rsidRPr="00102664">
              <w:rPr>
                <w:rFonts w:cstheme="minorHAnsi"/>
                <w:color w:val="000000"/>
                <w:sz w:val="18"/>
                <w:szCs w:val="18"/>
              </w:rPr>
              <w:t>4.60</w:t>
            </w:r>
          </w:p>
        </w:tc>
        <w:tc>
          <w:tcPr>
            <w:tcW w:w="784" w:type="dxa"/>
            <w:tcBorders>
              <w:top w:val="nil"/>
              <w:left w:val="nil"/>
              <w:bottom w:val="single" w:sz="4" w:space="0" w:color="auto"/>
              <w:right w:val="single" w:sz="4" w:space="0" w:color="auto"/>
            </w:tcBorders>
            <w:shd w:val="clear" w:color="auto" w:fill="D9D9D9"/>
            <w:noWrap/>
            <w:vAlign w:val="bottom"/>
            <w:hideMark/>
          </w:tcPr>
          <w:p w14:paraId="1CA186AB" w14:textId="01B04A52"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14.00%</w:t>
            </w:r>
          </w:p>
        </w:tc>
        <w:tc>
          <w:tcPr>
            <w:tcW w:w="1238" w:type="dxa"/>
            <w:tcBorders>
              <w:top w:val="nil"/>
              <w:left w:val="nil"/>
              <w:bottom w:val="single" w:sz="4" w:space="0" w:color="auto"/>
              <w:right w:val="single" w:sz="4" w:space="0" w:color="auto"/>
            </w:tcBorders>
            <w:noWrap/>
            <w:vAlign w:val="bottom"/>
            <w:hideMark/>
          </w:tcPr>
          <w:p w14:paraId="7BB8129A" w14:textId="583B0B95"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14.00%</w:t>
            </w:r>
          </w:p>
        </w:tc>
        <w:tc>
          <w:tcPr>
            <w:tcW w:w="1765" w:type="dxa"/>
            <w:tcBorders>
              <w:top w:val="nil"/>
              <w:left w:val="nil"/>
              <w:bottom w:val="single" w:sz="4" w:space="0" w:color="auto"/>
              <w:right w:val="single" w:sz="4" w:space="0" w:color="auto"/>
            </w:tcBorders>
            <w:noWrap/>
            <w:vAlign w:val="bottom"/>
            <w:hideMark/>
          </w:tcPr>
          <w:p w14:paraId="5FAE9EE5" w14:textId="4669267E" w:rsidR="00102664" w:rsidRPr="00102664" w:rsidRDefault="00102664" w:rsidP="00102664">
            <w:pPr>
              <w:spacing w:after="0" w:line="240" w:lineRule="auto"/>
              <w:jc w:val="center"/>
              <w:rPr>
                <w:rFonts w:eastAsia="Times New Roman" w:cstheme="minorHAnsi"/>
                <w:color w:val="000000"/>
                <w:sz w:val="18"/>
                <w:szCs w:val="18"/>
              </w:rPr>
            </w:pPr>
            <w:r w:rsidRPr="00102664">
              <w:rPr>
                <w:rFonts w:cstheme="minorHAnsi"/>
                <w:color w:val="000000"/>
                <w:sz w:val="18"/>
                <w:szCs w:val="18"/>
              </w:rPr>
              <w:t xml:space="preserve">0.00 </w:t>
            </w:r>
          </w:p>
        </w:tc>
      </w:tr>
      <w:tr w:rsidR="00102664" w:rsidRPr="00D158A6" w14:paraId="39C342B1" w14:textId="77777777" w:rsidTr="00DB1901">
        <w:trPr>
          <w:trHeight w:val="288"/>
        </w:trPr>
        <w:tc>
          <w:tcPr>
            <w:tcW w:w="1023" w:type="dxa"/>
            <w:tcBorders>
              <w:top w:val="nil"/>
              <w:left w:val="single" w:sz="4" w:space="0" w:color="auto"/>
              <w:bottom w:val="single" w:sz="4" w:space="0" w:color="auto"/>
              <w:right w:val="single" w:sz="4" w:space="0" w:color="auto"/>
            </w:tcBorders>
            <w:noWrap/>
            <w:vAlign w:val="bottom"/>
          </w:tcPr>
          <w:p w14:paraId="6BCDC97C" w14:textId="6F661991" w:rsidR="00102664" w:rsidRPr="00102664" w:rsidRDefault="00102664" w:rsidP="00102664">
            <w:pPr>
              <w:spacing w:after="0" w:line="240" w:lineRule="auto"/>
              <w:jc w:val="center"/>
              <w:rPr>
                <w:rFonts w:cstheme="minorHAnsi"/>
                <w:color w:val="000000"/>
                <w:sz w:val="18"/>
                <w:szCs w:val="18"/>
              </w:rPr>
            </w:pPr>
            <w:r w:rsidRPr="00102664">
              <w:rPr>
                <w:rFonts w:cstheme="minorHAnsi"/>
                <w:color w:val="000000"/>
                <w:sz w:val="18"/>
                <w:szCs w:val="18"/>
              </w:rPr>
              <w:t>27-Apr-32</w:t>
            </w:r>
          </w:p>
        </w:tc>
        <w:tc>
          <w:tcPr>
            <w:tcW w:w="1284" w:type="dxa"/>
            <w:tcBorders>
              <w:top w:val="nil"/>
              <w:left w:val="nil"/>
              <w:bottom w:val="single" w:sz="4" w:space="0" w:color="auto"/>
              <w:right w:val="single" w:sz="4" w:space="0" w:color="auto"/>
            </w:tcBorders>
            <w:noWrap/>
            <w:vAlign w:val="bottom"/>
          </w:tcPr>
          <w:p w14:paraId="50B78E43" w14:textId="1A719A3C" w:rsidR="00102664" w:rsidRPr="00102664" w:rsidRDefault="00102664" w:rsidP="00102664">
            <w:pPr>
              <w:spacing w:after="0" w:line="240" w:lineRule="auto"/>
              <w:jc w:val="center"/>
              <w:rPr>
                <w:rFonts w:cstheme="minorHAnsi"/>
                <w:color w:val="000000"/>
                <w:sz w:val="18"/>
                <w:szCs w:val="18"/>
              </w:rPr>
            </w:pPr>
            <w:r w:rsidRPr="00102664">
              <w:rPr>
                <w:rFonts w:cstheme="minorHAnsi"/>
                <w:color w:val="000000"/>
                <w:sz w:val="18"/>
                <w:szCs w:val="18"/>
              </w:rPr>
              <w:t>90.00</w:t>
            </w:r>
          </w:p>
        </w:tc>
        <w:tc>
          <w:tcPr>
            <w:tcW w:w="1127" w:type="dxa"/>
            <w:tcBorders>
              <w:top w:val="nil"/>
              <w:left w:val="nil"/>
              <w:bottom w:val="single" w:sz="4" w:space="0" w:color="auto"/>
              <w:right w:val="single" w:sz="4" w:space="0" w:color="auto"/>
            </w:tcBorders>
            <w:noWrap/>
            <w:vAlign w:val="bottom"/>
          </w:tcPr>
          <w:p w14:paraId="2CD96FB1" w14:textId="316D6E40" w:rsidR="00102664" w:rsidRPr="00102664" w:rsidRDefault="00102664" w:rsidP="00102664">
            <w:pPr>
              <w:spacing w:after="0" w:line="240" w:lineRule="auto"/>
              <w:jc w:val="center"/>
              <w:rPr>
                <w:rFonts w:cstheme="minorHAnsi"/>
                <w:color w:val="000000"/>
                <w:sz w:val="18"/>
                <w:szCs w:val="18"/>
              </w:rPr>
            </w:pPr>
            <w:r w:rsidRPr="00102664">
              <w:rPr>
                <w:rFonts w:cstheme="minorHAnsi"/>
                <w:color w:val="000000"/>
                <w:sz w:val="18"/>
                <w:szCs w:val="18"/>
              </w:rPr>
              <w:t>5.00</w:t>
            </w:r>
          </w:p>
        </w:tc>
        <w:tc>
          <w:tcPr>
            <w:tcW w:w="1234" w:type="dxa"/>
            <w:tcBorders>
              <w:top w:val="nil"/>
              <w:left w:val="nil"/>
              <w:bottom w:val="single" w:sz="4" w:space="0" w:color="auto"/>
              <w:right w:val="single" w:sz="4" w:space="0" w:color="auto"/>
            </w:tcBorders>
            <w:noWrap/>
            <w:vAlign w:val="bottom"/>
          </w:tcPr>
          <w:p w14:paraId="2C9E9A7D" w14:textId="70B75F31" w:rsidR="00102664" w:rsidRPr="00102664" w:rsidRDefault="00102664" w:rsidP="00102664">
            <w:pPr>
              <w:spacing w:after="0" w:line="240" w:lineRule="auto"/>
              <w:jc w:val="center"/>
              <w:rPr>
                <w:rFonts w:cstheme="minorHAnsi"/>
                <w:color w:val="000000"/>
                <w:sz w:val="18"/>
                <w:szCs w:val="18"/>
              </w:rPr>
            </w:pPr>
            <w:r w:rsidRPr="00102664">
              <w:rPr>
                <w:rFonts w:cstheme="minorHAnsi"/>
                <w:color w:val="000000"/>
                <w:sz w:val="18"/>
                <w:szCs w:val="18"/>
              </w:rPr>
              <w:t>2.00</w:t>
            </w:r>
          </w:p>
        </w:tc>
        <w:tc>
          <w:tcPr>
            <w:tcW w:w="784" w:type="dxa"/>
            <w:tcBorders>
              <w:top w:val="nil"/>
              <w:left w:val="nil"/>
              <w:bottom w:val="single" w:sz="4" w:space="0" w:color="auto"/>
              <w:right w:val="single" w:sz="4" w:space="0" w:color="auto"/>
            </w:tcBorders>
            <w:shd w:val="clear" w:color="auto" w:fill="D9D9D9"/>
            <w:noWrap/>
            <w:vAlign w:val="bottom"/>
          </w:tcPr>
          <w:p w14:paraId="5B99884C" w14:textId="35420DB4" w:rsidR="00102664" w:rsidRPr="00102664" w:rsidRDefault="00102664" w:rsidP="00102664">
            <w:pPr>
              <w:spacing w:after="0" w:line="240" w:lineRule="auto"/>
              <w:jc w:val="center"/>
              <w:rPr>
                <w:rFonts w:cstheme="minorHAnsi"/>
                <w:b/>
                <w:bCs/>
                <w:color w:val="000000"/>
                <w:sz w:val="18"/>
                <w:szCs w:val="18"/>
              </w:rPr>
            </w:pPr>
            <w:r w:rsidRPr="00102664">
              <w:rPr>
                <w:rFonts w:cstheme="minorHAnsi"/>
                <w:b/>
                <w:bCs/>
                <w:color w:val="000000"/>
                <w:sz w:val="18"/>
                <w:szCs w:val="18"/>
              </w:rPr>
              <w:t>14.80%</w:t>
            </w:r>
          </w:p>
        </w:tc>
        <w:tc>
          <w:tcPr>
            <w:tcW w:w="1238" w:type="dxa"/>
            <w:tcBorders>
              <w:top w:val="nil"/>
              <w:left w:val="nil"/>
              <w:bottom w:val="single" w:sz="4" w:space="0" w:color="auto"/>
              <w:right w:val="single" w:sz="4" w:space="0" w:color="auto"/>
            </w:tcBorders>
            <w:noWrap/>
            <w:vAlign w:val="bottom"/>
          </w:tcPr>
          <w:p w14:paraId="2C0EB21D" w14:textId="29F29DFF" w:rsidR="00102664" w:rsidRPr="00102664" w:rsidRDefault="00102664" w:rsidP="00102664">
            <w:pPr>
              <w:spacing w:after="0" w:line="240" w:lineRule="auto"/>
              <w:jc w:val="center"/>
              <w:rPr>
                <w:rFonts w:cstheme="minorHAnsi"/>
                <w:b/>
                <w:bCs/>
                <w:color w:val="000000"/>
                <w:sz w:val="18"/>
                <w:szCs w:val="18"/>
              </w:rPr>
            </w:pPr>
            <w:r w:rsidRPr="00102664">
              <w:rPr>
                <w:rFonts w:cstheme="minorHAnsi"/>
                <w:b/>
                <w:bCs/>
                <w:color w:val="000000"/>
                <w:sz w:val="18"/>
                <w:szCs w:val="18"/>
              </w:rPr>
              <w:t>14.75%</w:t>
            </w:r>
          </w:p>
        </w:tc>
        <w:tc>
          <w:tcPr>
            <w:tcW w:w="1765" w:type="dxa"/>
            <w:tcBorders>
              <w:top w:val="nil"/>
              <w:left w:val="nil"/>
              <w:bottom w:val="single" w:sz="4" w:space="0" w:color="auto"/>
              <w:right w:val="single" w:sz="4" w:space="0" w:color="auto"/>
            </w:tcBorders>
            <w:noWrap/>
            <w:vAlign w:val="bottom"/>
          </w:tcPr>
          <w:p w14:paraId="4AD3C898" w14:textId="3C284BE8" w:rsidR="00102664" w:rsidRPr="00102664" w:rsidRDefault="00102664" w:rsidP="00102664">
            <w:pPr>
              <w:spacing w:after="0" w:line="240" w:lineRule="auto"/>
              <w:jc w:val="center"/>
              <w:rPr>
                <w:rFonts w:cstheme="minorHAnsi"/>
                <w:color w:val="000000"/>
                <w:sz w:val="18"/>
                <w:szCs w:val="18"/>
              </w:rPr>
            </w:pPr>
            <w:r w:rsidRPr="00102664">
              <w:rPr>
                <w:rFonts w:cstheme="minorHAnsi"/>
                <w:color w:val="000000"/>
                <w:sz w:val="18"/>
                <w:szCs w:val="18"/>
              </w:rPr>
              <w:t xml:space="preserve">5.00 </w:t>
            </w:r>
          </w:p>
        </w:tc>
      </w:tr>
      <w:tr w:rsidR="00102664" w:rsidRPr="00D158A6" w14:paraId="27DF120B" w14:textId="77777777" w:rsidTr="00DB1901">
        <w:trPr>
          <w:trHeight w:val="288"/>
        </w:trPr>
        <w:tc>
          <w:tcPr>
            <w:tcW w:w="1023" w:type="dxa"/>
            <w:tcBorders>
              <w:top w:val="nil"/>
              <w:left w:val="single" w:sz="4" w:space="0" w:color="auto"/>
              <w:bottom w:val="single" w:sz="4" w:space="0" w:color="auto"/>
              <w:right w:val="single" w:sz="4" w:space="0" w:color="auto"/>
            </w:tcBorders>
            <w:noWrap/>
            <w:vAlign w:val="bottom"/>
          </w:tcPr>
          <w:p w14:paraId="12E2411E" w14:textId="7A6F7B7A" w:rsidR="00102664" w:rsidRPr="00102664" w:rsidRDefault="00102664" w:rsidP="00102664">
            <w:pPr>
              <w:spacing w:after="0" w:line="240" w:lineRule="auto"/>
              <w:jc w:val="center"/>
              <w:rPr>
                <w:rFonts w:cstheme="minorHAnsi"/>
                <w:color w:val="000000"/>
                <w:sz w:val="18"/>
                <w:szCs w:val="18"/>
              </w:rPr>
            </w:pPr>
            <w:r w:rsidRPr="00102664">
              <w:rPr>
                <w:rFonts w:cstheme="minorHAnsi"/>
                <w:color w:val="000000"/>
                <w:sz w:val="18"/>
                <w:szCs w:val="18"/>
              </w:rPr>
              <w:t>21-Jan-42</w:t>
            </w:r>
          </w:p>
        </w:tc>
        <w:tc>
          <w:tcPr>
            <w:tcW w:w="1284" w:type="dxa"/>
            <w:tcBorders>
              <w:top w:val="nil"/>
              <w:left w:val="nil"/>
              <w:bottom w:val="single" w:sz="4" w:space="0" w:color="auto"/>
              <w:right w:val="single" w:sz="4" w:space="0" w:color="auto"/>
            </w:tcBorders>
            <w:noWrap/>
            <w:vAlign w:val="bottom"/>
          </w:tcPr>
          <w:p w14:paraId="0CE8D3F3" w14:textId="4DC6E9F6" w:rsidR="00102664" w:rsidRPr="00102664" w:rsidRDefault="00102664" w:rsidP="00102664">
            <w:pPr>
              <w:spacing w:after="0" w:line="240" w:lineRule="auto"/>
              <w:jc w:val="center"/>
              <w:rPr>
                <w:rFonts w:cstheme="minorHAnsi"/>
                <w:color w:val="000000"/>
                <w:sz w:val="18"/>
                <w:szCs w:val="18"/>
              </w:rPr>
            </w:pPr>
            <w:r w:rsidRPr="00102664">
              <w:rPr>
                <w:rFonts w:cstheme="minorHAnsi"/>
                <w:color w:val="000000"/>
                <w:sz w:val="18"/>
                <w:szCs w:val="18"/>
              </w:rPr>
              <w:t>90.00</w:t>
            </w:r>
          </w:p>
        </w:tc>
        <w:tc>
          <w:tcPr>
            <w:tcW w:w="1127" w:type="dxa"/>
            <w:tcBorders>
              <w:top w:val="nil"/>
              <w:left w:val="nil"/>
              <w:bottom w:val="single" w:sz="4" w:space="0" w:color="auto"/>
              <w:right w:val="single" w:sz="4" w:space="0" w:color="auto"/>
            </w:tcBorders>
            <w:noWrap/>
            <w:vAlign w:val="bottom"/>
          </w:tcPr>
          <w:p w14:paraId="5B17BFA8" w14:textId="20FE7DBA" w:rsidR="00102664" w:rsidRPr="00102664" w:rsidRDefault="00102664" w:rsidP="00102664">
            <w:pPr>
              <w:spacing w:after="0" w:line="240" w:lineRule="auto"/>
              <w:jc w:val="center"/>
              <w:rPr>
                <w:rFonts w:cstheme="minorHAnsi"/>
                <w:color w:val="000000"/>
                <w:sz w:val="18"/>
                <w:szCs w:val="18"/>
              </w:rPr>
            </w:pPr>
            <w:r w:rsidRPr="00102664">
              <w:rPr>
                <w:rFonts w:cstheme="minorHAnsi"/>
                <w:color w:val="000000"/>
                <w:sz w:val="18"/>
                <w:szCs w:val="18"/>
              </w:rPr>
              <w:t>101.00</w:t>
            </w:r>
          </w:p>
        </w:tc>
        <w:tc>
          <w:tcPr>
            <w:tcW w:w="1234" w:type="dxa"/>
            <w:tcBorders>
              <w:top w:val="nil"/>
              <w:left w:val="nil"/>
              <w:bottom w:val="single" w:sz="4" w:space="0" w:color="auto"/>
              <w:right w:val="single" w:sz="4" w:space="0" w:color="auto"/>
            </w:tcBorders>
            <w:noWrap/>
            <w:vAlign w:val="bottom"/>
          </w:tcPr>
          <w:p w14:paraId="39207A94" w14:textId="0FBF1B9B" w:rsidR="00102664" w:rsidRPr="00102664" w:rsidRDefault="00102664" w:rsidP="00102664">
            <w:pPr>
              <w:spacing w:after="0" w:line="240" w:lineRule="auto"/>
              <w:jc w:val="center"/>
              <w:rPr>
                <w:rFonts w:cstheme="minorHAnsi"/>
                <w:color w:val="000000"/>
                <w:sz w:val="18"/>
                <w:szCs w:val="18"/>
              </w:rPr>
            </w:pPr>
            <w:r w:rsidRPr="00102664">
              <w:rPr>
                <w:rFonts w:cstheme="minorHAnsi"/>
                <w:color w:val="000000"/>
                <w:sz w:val="18"/>
                <w:szCs w:val="18"/>
              </w:rPr>
              <w:t>95.00</w:t>
            </w:r>
          </w:p>
        </w:tc>
        <w:tc>
          <w:tcPr>
            <w:tcW w:w="784" w:type="dxa"/>
            <w:tcBorders>
              <w:top w:val="nil"/>
              <w:left w:val="nil"/>
              <w:bottom w:val="single" w:sz="4" w:space="0" w:color="auto"/>
              <w:right w:val="single" w:sz="4" w:space="0" w:color="auto"/>
            </w:tcBorders>
            <w:shd w:val="clear" w:color="auto" w:fill="D9D9D9"/>
            <w:noWrap/>
            <w:vAlign w:val="bottom"/>
          </w:tcPr>
          <w:p w14:paraId="2E0B64D8" w14:textId="67D100A0" w:rsidR="00102664" w:rsidRPr="00102664" w:rsidRDefault="00102664" w:rsidP="00102664">
            <w:pPr>
              <w:spacing w:after="0" w:line="240" w:lineRule="auto"/>
              <w:jc w:val="center"/>
              <w:rPr>
                <w:rFonts w:cstheme="minorHAnsi"/>
                <w:b/>
                <w:bCs/>
                <w:color w:val="000000"/>
                <w:sz w:val="18"/>
                <w:szCs w:val="18"/>
              </w:rPr>
            </w:pPr>
            <w:r w:rsidRPr="00102664">
              <w:rPr>
                <w:rFonts w:cstheme="minorHAnsi"/>
                <w:b/>
                <w:bCs/>
                <w:color w:val="000000"/>
                <w:sz w:val="18"/>
                <w:szCs w:val="18"/>
              </w:rPr>
              <w:t>15.40%</w:t>
            </w:r>
          </w:p>
        </w:tc>
        <w:tc>
          <w:tcPr>
            <w:tcW w:w="1238" w:type="dxa"/>
            <w:tcBorders>
              <w:top w:val="nil"/>
              <w:left w:val="nil"/>
              <w:bottom w:val="single" w:sz="4" w:space="0" w:color="auto"/>
              <w:right w:val="single" w:sz="4" w:space="0" w:color="auto"/>
            </w:tcBorders>
            <w:noWrap/>
            <w:vAlign w:val="bottom"/>
          </w:tcPr>
          <w:p w14:paraId="06288D96" w14:textId="42E2EF87" w:rsidR="00102664" w:rsidRPr="00102664" w:rsidRDefault="00102664" w:rsidP="00102664">
            <w:pPr>
              <w:spacing w:after="0" w:line="240" w:lineRule="auto"/>
              <w:jc w:val="center"/>
              <w:rPr>
                <w:rFonts w:cstheme="minorHAnsi"/>
                <w:b/>
                <w:bCs/>
                <w:color w:val="000000"/>
                <w:sz w:val="18"/>
                <w:szCs w:val="18"/>
              </w:rPr>
            </w:pPr>
            <w:r w:rsidRPr="00102664">
              <w:rPr>
                <w:rFonts w:cstheme="minorHAnsi"/>
                <w:b/>
                <w:bCs/>
                <w:color w:val="000000"/>
                <w:sz w:val="18"/>
                <w:szCs w:val="18"/>
              </w:rPr>
              <w:t> -</w:t>
            </w:r>
          </w:p>
        </w:tc>
        <w:tc>
          <w:tcPr>
            <w:tcW w:w="1765" w:type="dxa"/>
            <w:tcBorders>
              <w:top w:val="nil"/>
              <w:left w:val="nil"/>
              <w:bottom w:val="single" w:sz="4" w:space="0" w:color="auto"/>
              <w:right w:val="single" w:sz="4" w:space="0" w:color="auto"/>
            </w:tcBorders>
            <w:noWrap/>
            <w:vAlign w:val="bottom"/>
          </w:tcPr>
          <w:p w14:paraId="5CCC622C" w14:textId="3D250DC9" w:rsidR="00102664" w:rsidRPr="00102664" w:rsidRDefault="00102664" w:rsidP="00102664">
            <w:pPr>
              <w:spacing w:after="0" w:line="240" w:lineRule="auto"/>
              <w:jc w:val="center"/>
              <w:rPr>
                <w:rFonts w:cstheme="minorHAnsi"/>
                <w:color w:val="FF0000"/>
                <w:sz w:val="18"/>
                <w:szCs w:val="18"/>
              </w:rPr>
            </w:pPr>
            <w:r w:rsidRPr="00102664">
              <w:rPr>
                <w:rFonts w:cstheme="minorHAnsi"/>
                <w:color w:val="000000"/>
                <w:sz w:val="18"/>
                <w:szCs w:val="18"/>
              </w:rPr>
              <w:t>- </w:t>
            </w:r>
          </w:p>
        </w:tc>
      </w:tr>
      <w:tr w:rsidR="00102664" w:rsidRPr="00D158A6" w14:paraId="3748EBBE" w14:textId="77777777" w:rsidTr="00DB1901">
        <w:trPr>
          <w:trHeight w:val="288"/>
        </w:trPr>
        <w:tc>
          <w:tcPr>
            <w:tcW w:w="1023" w:type="dxa"/>
            <w:tcBorders>
              <w:top w:val="nil"/>
              <w:left w:val="single" w:sz="4" w:space="0" w:color="auto"/>
              <w:bottom w:val="single" w:sz="4" w:space="0" w:color="auto"/>
              <w:right w:val="single" w:sz="4" w:space="0" w:color="auto"/>
            </w:tcBorders>
            <w:noWrap/>
            <w:vAlign w:val="bottom"/>
            <w:hideMark/>
          </w:tcPr>
          <w:p w14:paraId="33C40497" w14:textId="69054535" w:rsidR="00102664" w:rsidRPr="00102664" w:rsidRDefault="00102664" w:rsidP="00102664">
            <w:pPr>
              <w:spacing w:after="0" w:line="240" w:lineRule="auto"/>
              <w:jc w:val="center"/>
              <w:rPr>
                <w:rFonts w:eastAsia="Times New Roman" w:cstheme="minorHAnsi"/>
                <w:color w:val="000000"/>
                <w:sz w:val="18"/>
                <w:szCs w:val="18"/>
              </w:rPr>
            </w:pPr>
            <w:r w:rsidRPr="00102664">
              <w:rPr>
                <w:rFonts w:cstheme="minorHAnsi"/>
                <w:color w:val="000000"/>
                <w:sz w:val="18"/>
                <w:szCs w:val="18"/>
              </w:rPr>
              <w:t>27-Mar-50</w:t>
            </w:r>
          </w:p>
        </w:tc>
        <w:tc>
          <w:tcPr>
            <w:tcW w:w="1284" w:type="dxa"/>
            <w:tcBorders>
              <w:top w:val="nil"/>
              <w:left w:val="nil"/>
              <w:bottom w:val="single" w:sz="4" w:space="0" w:color="auto"/>
              <w:right w:val="single" w:sz="4" w:space="0" w:color="auto"/>
            </w:tcBorders>
            <w:noWrap/>
            <w:vAlign w:val="bottom"/>
            <w:hideMark/>
          </w:tcPr>
          <w:p w14:paraId="01F0F179" w14:textId="5C8F2DFC" w:rsidR="00102664" w:rsidRPr="00102664" w:rsidRDefault="00102664" w:rsidP="00102664">
            <w:pPr>
              <w:spacing w:after="0" w:line="240" w:lineRule="auto"/>
              <w:jc w:val="center"/>
              <w:rPr>
                <w:rFonts w:eastAsia="Times New Roman" w:cstheme="minorHAnsi"/>
                <w:color w:val="000000"/>
                <w:sz w:val="18"/>
                <w:szCs w:val="18"/>
              </w:rPr>
            </w:pPr>
            <w:r w:rsidRPr="00102664">
              <w:rPr>
                <w:rFonts w:cstheme="minorHAnsi"/>
                <w:color w:val="000000"/>
                <w:sz w:val="18"/>
                <w:szCs w:val="18"/>
              </w:rPr>
              <w:t>90.00</w:t>
            </w:r>
          </w:p>
        </w:tc>
        <w:tc>
          <w:tcPr>
            <w:tcW w:w="1127" w:type="dxa"/>
            <w:tcBorders>
              <w:top w:val="nil"/>
              <w:left w:val="nil"/>
              <w:bottom w:val="single" w:sz="4" w:space="0" w:color="auto"/>
              <w:right w:val="single" w:sz="4" w:space="0" w:color="auto"/>
            </w:tcBorders>
            <w:noWrap/>
            <w:vAlign w:val="bottom"/>
            <w:hideMark/>
          </w:tcPr>
          <w:p w14:paraId="136C4F8E" w14:textId="7378A53F" w:rsidR="00102664" w:rsidRPr="00102664" w:rsidRDefault="00102664" w:rsidP="00102664">
            <w:pPr>
              <w:spacing w:after="0" w:line="240" w:lineRule="auto"/>
              <w:jc w:val="center"/>
              <w:rPr>
                <w:rFonts w:eastAsia="Times New Roman" w:cstheme="minorHAnsi"/>
                <w:color w:val="000000"/>
                <w:sz w:val="18"/>
                <w:szCs w:val="18"/>
              </w:rPr>
            </w:pPr>
            <w:r w:rsidRPr="00102664">
              <w:rPr>
                <w:rFonts w:cstheme="minorHAnsi"/>
                <w:color w:val="000000"/>
                <w:sz w:val="18"/>
                <w:szCs w:val="18"/>
              </w:rPr>
              <w:t>322.00</w:t>
            </w:r>
          </w:p>
        </w:tc>
        <w:tc>
          <w:tcPr>
            <w:tcW w:w="1234" w:type="dxa"/>
            <w:tcBorders>
              <w:top w:val="nil"/>
              <w:left w:val="nil"/>
              <w:bottom w:val="single" w:sz="4" w:space="0" w:color="auto"/>
              <w:right w:val="single" w:sz="4" w:space="0" w:color="auto"/>
            </w:tcBorders>
            <w:noWrap/>
            <w:vAlign w:val="bottom"/>
            <w:hideMark/>
          </w:tcPr>
          <w:p w14:paraId="3D34AE97" w14:textId="1B9F3417" w:rsidR="00102664" w:rsidRPr="00102664" w:rsidRDefault="00102664" w:rsidP="00102664">
            <w:pPr>
              <w:spacing w:after="0" w:line="240" w:lineRule="auto"/>
              <w:jc w:val="center"/>
              <w:rPr>
                <w:rFonts w:eastAsia="Times New Roman" w:cstheme="minorHAnsi"/>
                <w:color w:val="000000"/>
                <w:sz w:val="18"/>
                <w:szCs w:val="18"/>
              </w:rPr>
            </w:pPr>
            <w:r w:rsidRPr="00102664">
              <w:rPr>
                <w:rFonts w:cstheme="minorHAnsi"/>
                <w:color w:val="000000"/>
                <w:sz w:val="18"/>
                <w:szCs w:val="18"/>
              </w:rPr>
              <w:t>266.00</w:t>
            </w:r>
          </w:p>
        </w:tc>
        <w:tc>
          <w:tcPr>
            <w:tcW w:w="784" w:type="dxa"/>
            <w:tcBorders>
              <w:top w:val="nil"/>
              <w:left w:val="nil"/>
              <w:bottom w:val="single" w:sz="4" w:space="0" w:color="auto"/>
              <w:right w:val="single" w:sz="4" w:space="0" w:color="auto"/>
            </w:tcBorders>
            <w:shd w:val="clear" w:color="auto" w:fill="D9D9D9"/>
            <w:noWrap/>
            <w:vAlign w:val="bottom"/>
            <w:hideMark/>
          </w:tcPr>
          <w:p w14:paraId="291AA395" w14:textId="5D6A2557"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15.80%</w:t>
            </w:r>
          </w:p>
        </w:tc>
        <w:tc>
          <w:tcPr>
            <w:tcW w:w="1238" w:type="dxa"/>
            <w:tcBorders>
              <w:top w:val="nil"/>
              <w:left w:val="nil"/>
              <w:bottom w:val="single" w:sz="4" w:space="0" w:color="auto"/>
              <w:right w:val="single" w:sz="4" w:space="0" w:color="auto"/>
            </w:tcBorders>
            <w:noWrap/>
            <w:vAlign w:val="bottom"/>
            <w:hideMark/>
          </w:tcPr>
          <w:p w14:paraId="7E0264F7" w14:textId="1CAE61C7"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 </w:t>
            </w:r>
          </w:p>
        </w:tc>
        <w:tc>
          <w:tcPr>
            <w:tcW w:w="1765" w:type="dxa"/>
            <w:tcBorders>
              <w:top w:val="nil"/>
              <w:left w:val="nil"/>
              <w:bottom w:val="single" w:sz="4" w:space="0" w:color="auto"/>
              <w:right w:val="single" w:sz="4" w:space="0" w:color="auto"/>
            </w:tcBorders>
            <w:noWrap/>
            <w:vAlign w:val="bottom"/>
            <w:hideMark/>
          </w:tcPr>
          <w:p w14:paraId="3CE84FC4" w14:textId="6C57806C" w:rsidR="00102664" w:rsidRPr="00102664" w:rsidRDefault="00102664" w:rsidP="00102664">
            <w:pPr>
              <w:spacing w:after="0" w:line="240" w:lineRule="auto"/>
              <w:jc w:val="center"/>
              <w:rPr>
                <w:rFonts w:eastAsia="Times New Roman" w:cstheme="minorHAnsi"/>
                <w:color w:val="000000"/>
                <w:sz w:val="18"/>
                <w:szCs w:val="18"/>
              </w:rPr>
            </w:pPr>
            <w:r w:rsidRPr="00102664">
              <w:rPr>
                <w:rFonts w:cstheme="minorHAnsi"/>
                <w:color w:val="000000"/>
                <w:sz w:val="18"/>
                <w:szCs w:val="18"/>
              </w:rPr>
              <w:t>- </w:t>
            </w:r>
          </w:p>
        </w:tc>
      </w:tr>
      <w:tr w:rsidR="00102664" w:rsidRPr="00D158A6" w14:paraId="3D6FE827" w14:textId="77777777" w:rsidTr="008F3EEB">
        <w:trPr>
          <w:trHeight w:val="288"/>
        </w:trPr>
        <w:tc>
          <w:tcPr>
            <w:tcW w:w="1023" w:type="dxa"/>
            <w:tcBorders>
              <w:top w:val="nil"/>
              <w:left w:val="nil"/>
              <w:bottom w:val="nil"/>
              <w:right w:val="nil"/>
            </w:tcBorders>
            <w:shd w:val="clear" w:color="auto" w:fill="auto"/>
            <w:noWrap/>
            <w:vAlign w:val="center"/>
            <w:hideMark/>
          </w:tcPr>
          <w:p w14:paraId="0388B430" w14:textId="77777777" w:rsidR="00102664" w:rsidRPr="00D158A6" w:rsidRDefault="00102664" w:rsidP="00102664">
            <w:pPr>
              <w:spacing w:after="0" w:line="240" w:lineRule="auto"/>
              <w:jc w:val="center"/>
              <w:rPr>
                <w:rFonts w:eastAsia="Times New Roman" w:cstheme="minorHAnsi"/>
                <w:color w:val="000000"/>
                <w:sz w:val="18"/>
                <w:szCs w:val="18"/>
              </w:rPr>
            </w:pP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2E7558F3" w14:textId="30AC3C56"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360.00</w:t>
            </w:r>
          </w:p>
        </w:tc>
        <w:tc>
          <w:tcPr>
            <w:tcW w:w="1127" w:type="dxa"/>
            <w:tcBorders>
              <w:top w:val="nil"/>
              <w:left w:val="nil"/>
              <w:bottom w:val="single" w:sz="4" w:space="0" w:color="auto"/>
              <w:right w:val="single" w:sz="4" w:space="0" w:color="auto"/>
            </w:tcBorders>
            <w:shd w:val="clear" w:color="auto" w:fill="auto"/>
            <w:noWrap/>
            <w:vAlign w:val="bottom"/>
            <w:hideMark/>
          </w:tcPr>
          <w:p w14:paraId="66E22F00" w14:textId="680D4729"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442.00</w:t>
            </w:r>
          </w:p>
        </w:tc>
        <w:tc>
          <w:tcPr>
            <w:tcW w:w="1234" w:type="dxa"/>
            <w:tcBorders>
              <w:top w:val="nil"/>
              <w:left w:val="nil"/>
              <w:bottom w:val="single" w:sz="4" w:space="0" w:color="auto"/>
              <w:right w:val="single" w:sz="4" w:space="0" w:color="auto"/>
            </w:tcBorders>
            <w:shd w:val="clear" w:color="auto" w:fill="auto"/>
            <w:noWrap/>
            <w:vAlign w:val="bottom"/>
            <w:hideMark/>
          </w:tcPr>
          <w:p w14:paraId="0E321335" w14:textId="416BFFFA" w:rsidR="00102664" w:rsidRPr="00102664" w:rsidRDefault="00102664" w:rsidP="00102664">
            <w:pPr>
              <w:spacing w:after="0" w:line="240" w:lineRule="auto"/>
              <w:jc w:val="center"/>
              <w:rPr>
                <w:rFonts w:eastAsia="Times New Roman" w:cstheme="minorHAnsi"/>
                <w:b/>
                <w:bCs/>
                <w:color w:val="000000"/>
                <w:sz w:val="18"/>
                <w:szCs w:val="18"/>
              </w:rPr>
            </w:pPr>
            <w:r w:rsidRPr="00102664">
              <w:rPr>
                <w:rFonts w:cstheme="minorHAnsi"/>
                <w:b/>
                <w:bCs/>
                <w:color w:val="000000"/>
                <w:sz w:val="18"/>
                <w:szCs w:val="18"/>
              </w:rPr>
              <w:t>367.60</w:t>
            </w:r>
          </w:p>
        </w:tc>
        <w:tc>
          <w:tcPr>
            <w:tcW w:w="784" w:type="dxa"/>
            <w:tcBorders>
              <w:top w:val="nil"/>
              <w:left w:val="nil"/>
              <w:bottom w:val="nil"/>
              <w:right w:val="nil"/>
            </w:tcBorders>
            <w:shd w:val="clear" w:color="auto" w:fill="auto"/>
            <w:noWrap/>
            <w:vAlign w:val="center"/>
            <w:hideMark/>
          </w:tcPr>
          <w:p w14:paraId="32178390" w14:textId="77777777" w:rsidR="00102664" w:rsidRPr="00D158A6" w:rsidRDefault="00102664" w:rsidP="00102664">
            <w:pPr>
              <w:spacing w:after="0" w:line="240" w:lineRule="auto"/>
              <w:jc w:val="center"/>
              <w:rPr>
                <w:rFonts w:eastAsia="Times New Roman" w:cstheme="minorHAnsi"/>
                <w:b/>
                <w:bCs/>
                <w:color w:val="000000"/>
                <w:sz w:val="18"/>
                <w:szCs w:val="18"/>
              </w:rPr>
            </w:pPr>
          </w:p>
        </w:tc>
        <w:tc>
          <w:tcPr>
            <w:tcW w:w="1238" w:type="dxa"/>
            <w:tcBorders>
              <w:top w:val="nil"/>
              <w:left w:val="nil"/>
              <w:bottom w:val="nil"/>
              <w:right w:val="nil"/>
            </w:tcBorders>
            <w:shd w:val="clear" w:color="auto" w:fill="auto"/>
            <w:noWrap/>
            <w:vAlign w:val="center"/>
            <w:hideMark/>
          </w:tcPr>
          <w:p w14:paraId="4B1F04B4" w14:textId="77777777" w:rsidR="00102664" w:rsidRPr="00D158A6" w:rsidRDefault="00102664" w:rsidP="00102664">
            <w:pPr>
              <w:spacing w:after="0" w:line="240" w:lineRule="auto"/>
              <w:jc w:val="center"/>
              <w:rPr>
                <w:rFonts w:eastAsia="Times New Roman" w:cstheme="minorHAnsi"/>
                <w:sz w:val="18"/>
                <w:szCs w:val="18"/>
              </w:rPr>
            </w:pPr>
          </w:p>
        </w:tc>
        <w:tc>
          <w:tcPr>
            <w:tcW w:w="1765" w:type="dxa"/>
            <w:tcBorders>
              <w:top w:val="nil"/>
              <w:left w:val="nil"/>
              <w:bottom w:val="nil"/>
              <w:right w:val="nil"/>
            </w:tcBorders>
            <w:shd w:val="clear" w:color="auto" w:fill="auto"/>
            <w:noWrap/>
            <w:vAlign w:val="center"/>
            <w:hideMark/>
          </w:tcPr>
          <w:p w14:paraId="00043B9F" w14:textId="77777777" w:rsidR="00102664" w:rsidRPr="00D158A6" w:rsidRDefault="00102664" w:rsidP="00102664">
            <w:pPr>
              <w:spacing w:after="0" w:line="240" w:lineRule="auto"/>
              <w:jc w:val="center"/>
              <w:rPr>
                <w:rFonts w:eastAsia="Times New Roman" w:cstheme="minorHAnsi"/>
                <w:sz w:val="18"/>
                <w:szCs w:val="18"/>
              </w:rPr>
            </w:pPr>
          </w:p>
        </w:tc>
      </w:tr>
    </w:tbl>
    <w:p w14:paraId="0C9E6899" w14:textId="77777777" w:rsidR="00D158A6" w:rsidRDefault="00D158A6" w:rsidP="72409F61">
      <w:pPr>
        <w:spacing w:line="360" w:lineRule="auto"/>
        <w:jc w:val="both"/>
        <w:rPr>
          <w:b/>
          <w:bCs/>
          <w:sz w:val="2"/>
          <w:szCs w:val="2"/>
        </w:rPr>
      </w:pPr>
    </w:p>
    <w:p w14:paraId="611AE26E" w14:textId="24919841" w:rsidR="008F0A32" w:rsidRDefault="00361A74" w:rsidP="00D019DE">
      <w:pPr>
        <w:pBdr>
          <w:top w:val="single" w:sz="4" w:space="1" w:color="auto"/>
        </w:pBdr>
        <w:spacing w:line="360" w:lineRule="auto"/>
        <w:jc w:val="both"/>
        <w:rPr>
          <w:b/>
          <w:bCs/>
          <w:sz w:val="18"/>
          <w:szCs w:val="18"/>
        </w:rPr>
      </w:pPr>
      <w:r w:rsidRPr="72409F61">
        <w:rPr>
          <w:b/>
          <w:bCs/>
          <w:sz w:val="18"/>
          <w:szCs w:val="18"/>
        </w:rPr>
        <w:lastRenderedPageBreak/>
        <w:t>Source: DMO, AIICO Capital</w:t>
      </w:r>
    </w:p>
    <w:p w14:paraId="6ECBE3D8" w14:textId="77777777" w:rsidR="001B0ABB" w:rsidRDefault="001B0ABB" w:rsidP="000F5186">
      <w:pPr>
        <w:pBdr>
          <w:bottom w:val="single" w:sz="4" w:space="0" w:color="595959" w:themeColor="text1" w:themeTint="A6"/>
        </w:pBdr>
        <w:spacing w:line="360" w:lineRule="auto"/>
        <w:jc w:val="both"/>
        <w:rPr>
          <w:b/>
          <w:bCs/>
          <w:sz w:val="18"/>
          <w:szCs w:val="18"/>
        </w:rPr>
      </w:pPr>
    </w:p>
    <w:p w14:paraId="293088A6" w14:textId="1CCBCFEC" w:rsidR="006E5527" w:rsidRDefault="00C533D4" w:rsidP="000F5186">
      <w:pPr>
        <w:pBdr>
          <w:bottom w:val="single" w:sz="4" w:space="0" w:color="595959" w:themeColor="text1" w:themeTint="A6"/>
        </w:pBdr>
        <w:spacing w:line="360" w:lineRule="auto"/>
        <w:jc w:val="both"/>
        <w:rPr>
          <w:b/>
          <w:bCs/>
          <w:sz w:val="18"/>
          <w:szCs w:val="18"/>
        </w:rPr>
      </w:pPr>
      <w:r>
        <w:rPr>
          <w:b/>
          <w:bCs/>
          <w:noProof/>
          <w:sz w:val="18"/>
          <w:szCs w:val="18"/>
        </w:rPr>
        <mc:AlternateContent>
          <mc:Choice Requires="wps">
            <w:drawing>
              <wp:anchor distT="0" distB="0" distL="114300" distR="114300" simplePos="0" relativeHeight="251663365" behindDoc="0" locked="0" layoutInCell="1" allowOverlap="1" wp14:anchorId="21B67CCD" wp14:editId="5C262E42">
                <wp:simplePos x="0" y="0"/>
                <wp:positionH relativeFrom="column">
                  <wp:posOffset>-34290</wp:posOffset>
                </wp:positionH>
                <wp:positionV relativeFrom="paragraph">
                  <wp:posOffset>175260</wp:posOffset>
                </wp:positionV>
                <wp:extent cx="6035040" cy="0"/>
                <wp:effectExtent l="0" t="0" r="0" b="0"/>
                <wp:wrapSquare wrapText="bothSides"/>
                <wp:docPr id="7" name="Straight Connector 7"/>
                <wp:cNvGraphicFramePr/>
                <a:graphic xmlns:a="http://schemas.openxmlformats.org/drawingml/2006/main">
                  <a:graphicData uri="http://schemas.microsoft.com/office/word/2010/wordprocessingShape">
                    <wps:wsp>
                      <wps:cNvCnPr/>
                      <wps:spPr>
                        <a:xfrm>
                          <a:off x="0" y="0"/>
                          <a:ext cx="603504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70B1B" id="Straight Connector 7" o:spid="_x0000_s1026" style="position:absolute;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3.8pt" to="47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" strokecolor="black [3200]" strokeweight=".5pt">
                <v:stroke dashstyle="1 1" joinstyle="miter"/>
                <w10:wrap type="square"/>
              </v:line>
            </w:pict>
          </mc:Fallback>
        </mc:AlternateContent>
      </w:r>
      <w:r w:rsidR="006E5527">
        <w:rPr>
          <w:b/>
          <w:bCs/>
          <w:sz w:val="18"/>
          <w:szCs w:val="18"/>
        </w:rPr>
        <w:t>C</w:t>
      </w:r>
      <w:r w:rsidR="006E5527" w:rsidRPr="00324CFD">
        <w:rPr>
          <w:b/>
          <w:bCs/>
          <w:sz w:val="18"/>
          <w:szCs w:val="18"/>
        </w:rPr>
        <w:t xml:space="preserve">hart </w:t>
      </w:r>
      <w:r w:rsidR="00AC2791">
        <w:rPr>
          <w:b/>
          <w:bCs/>
          <w:sz w:val="18"/>
          <w:szCs w:val="18"/>
        </w:rPr>
        <w:t>4</w:t>
      </w:r>
      <w:r w:rsidR="006E5527" w:rsidRPr="00324CFD">
        <w:rPr>
          <w:b/>
          <w:bCs/>
          <w:sz w:val="18"/>
          <w:szCs w:val="18"/>
        </w:rPr>
        <w:t xml:space="preserve"> – FGN Bond Yield Curve</w:t>
      </w:r>
      <w:r w:rsidR="006E5527">
        <w:rPr>
          <w:b/>
          <w:bCs/>
          <w:sz w:val="18"/>
          <w:szCs w:val="18"/>
        </w:rPr>
        <w:t xml:space="preserve"> for Selected Maturities</w:t>
      </w:r>
    </w:p>
    <w:p w14:paraId="2565B13E" w14:textId="3D9E3E6E" w:rsidR="008F3D21" w:rsidRDefault="00491AF9" w:rsidP="000F5186">
      <w:pPr>
        <w:pBdr>
          <w:bottom w:val="single" w:sz="4" w:space="0" w:color="595959" w:themeColor="text1" w:themeTint="A6"/>
        </w:pBdr>
        <w:spacing w:line="240" w:lineRule="auto"/>
        <w:jc w:val="both"/>
        <w:rPr>
          <w:rFonts w:cstheme="minorHAnsi"/>
          <w:noProof/>
          <w:sz w:val="18"/>
          <w:szCs w:val="18"/>
        </w:rPr>
      </w:pPr>
      <w:r>
        <w:rPr>
          <w:noProof/>
        </w:rPr>
        <w:drawing>
          <wp:anchor distT="0" distB="0" distL="114300" distR="114300" simplePos="0" relativeHeight="251748357" behindDoc="0" locked="0" layoutInCell="1" allowOverlap="1" wp14:anchorId="7ACDC551" wp14:editId="0EE1018E">
            <wp:simplePos x="0" y="0"/>
            <wp:positionH relativeFrom="column">
              <wp:posOffset>0</wp:posOffset>
            </wp:positionH>
            <wp:positionV relativeFrom="paragraph">
              <wp:posOffset>0</wp:posOffset>
            </wp:positionV>
            <wp:extent cx="5943600" cy="1648460"/>
            <wp:effectExtent l="0" t="0" r="0" b="8890"/>
            <wp:wrapSquare wrapText="bothSides"/>
            <wp:docPr id="793897889" name="Chart 1">
              <a:extLst xmlns:a="http://schemas.openxmlformats.org/drawingml/2006/main">
                <a:ext uri="{FF2B5EF4-FFF2-40B4-BE49-F238E27FC236}">
                  <a16:creationId xmlns:a16="http://schemas.microsoft.com/office/drawing/2014/main" id="{3EB6DA54-E2C1-4FDE-A361-F25042177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4B088EEF" w14:textId="77C89C7A" w:rsidR="00D158A6" w:rsidRDefault="00D158A6" w:rsidP="000F5186">
      <w:pPr>
        <w:pBdr>
          <w:bottom w:val="single" w:sz="4" w:space="0" w:color="595959" w:themeColor="text1" w:themeTint="A6"/>
        </w:pBdr>
        <w:spacing w:line="240" w:lineRule="auto"/>
        <w:jc w:val="both"/>
        <w:rPr>
          <w:rFonts w:cstheme="minorHAnsi"/>
          <w:noProof/>
          <w:sz w:val="18"/>
          <w:szCs w:val="18"/>
        </w:rPr>
      </w:pPr>
    </w:p>
    <w:p w14:paraId="6627DD85" w14:textId="226A120F" w:rsidR="00D158A6" w:rsidRDefault="00D158A6" w:rsidP="000F5186">
      <w:pPr>
        <w:pBdr>
          <w:bottom w:val="single" w:sz="4" w:space="0" w:color="595959" w:themeColor="text1" w:themeTint="A6"/>
        </w:pBdr>
        <w:spacing w:line="240" w:lineRule="auto"/>
        <w:jc w:val="both"/>
        <w:rPr>
          <w:rFonts w:cstheme="minorHAnsi"/>
          <w:noProof/>
          <w:sz w:val="18"/>
          <w:szCs w:val="18"/>
        </w:rPr>
      </w:pPr>
    </w:p>
    <w:p w14:paraId="5A437BA6" w14:textId="69EB83F7" w:rsidR="00D158A6" w:rsidRDefault="00D158A6" w:rsidP="000F5186">
      <w:pPr>
        <w:pBdr>
          <w:bottom w:val="single" w:sz="4" w:space="0" w:color="595959" w:themeColor="text1" w:themeTint="A6"/>
        </w:pBdr>
        <w:spacing w:line="240" w:lineRule="auto"/>
        <w:jc w:val="both"/>
        <w:rPr>
          <w:rFonts w:cstheme="minorHAnsi"/>
          <w:noProof/>
          <w:sz w:val="18"/>
          <w:szCs w:val="18"/>
        </w:rPr>
      </w:pPr>
    </w:p>
    <w:p w14:paraId="0B3293D1" w14:textId="2E5D80C9" w:rsidR="00D158A6" w:rsidRDefault="00D158A6" w:rsidP="000F5186">
      <w:pPr>
        <w:pBdr>
          <w:bottom w:val="single" w:sz="4" w:space="0" w:color="595959" w:themeColor="text1" w:themeTint="A6"/>
        </w:pBdr>
        <w:spacing w:line="240" w:lineRule="auto"/>
        <w:jc w:val="both"/>
        <w:rPr>
          <w:rFonts w:cstheme="minorHAnsi"/>
          <w:noProof/>
          <w:sz w:val="18"/>
          <w:szCs w:val="18"/>
        </w:rPr>
      </w:pPr>
    </w:p>
    <w:p w14:paraId="542259EA" w14:textId="44E03701" w:rsidR="00D158A6" w:rsidRDefault="00D158A6" w:rsidP="000F5186">
      <w:pPr>
        <w:pBdr>
          <w:bottom w:val="single" w:sz="4" w:space="0" w:color="595959" w:themeColor="text1" w:themeTint="A6"/>
        </w:pBdr>
        <w:spacing w:line="240" w:lineRule="auto"/>
        <w:jc w:val="both"/>
        <w:rPr>
          <w:rFonts w:cstheme="minorHAnsi"/>
          <w:noProof/>
          <w:sz w:val="18"/>
          <w:szCs w:val="18"/>
        </w:rPr>
      </w:pPr>
    </w:p>
    <w:p w14:paraId="68AB08C3" w14:textId="047C1429" w:rsidR="00D158A6" w:rsidRDefault="00D158A6" w:rsidP="000F5186">
      <w:pPr>
        <w:pBdr>
          <w:bottom w:val="single" w:sz="4" w:space="0" w:color="595959" w:themeColor="text1" w:themeTint="A6"/>
        </w:pBdr>
        <w:spacing w:line="240" w:lineRule="auto"/>
        <w:jc w:val="both"/>
        <w:rPr>
          <w:rFonts w:cstheme="minorHAnsi"/>
          <w:noProof/>
          <w:sz w:val="18"/>
          <w:szCs w:val="18"/>
        </w:rPr>
      </w:pPr>
    </w:p>
    <w:p w14:paraId="4E92634C" w14:textId="77777777" w:rsidR="00D158A6" w:rsidRPr="00D019DE" w:rsidRDefault="00D158A6" w:rsidP="000F5186">
      <w:pPr>
        <w:pBdr>
          <w:bottom w:val="single" w:sz="4" w:space="0" w:color="595959" w:themeColor="text1" w:themeTint="A6"/>
        </w:pBdr>
        <w:spacing w:line="240" w:lineRule="auto"/>
        <w:jc w:val="both"/>
        <w:rPr>
          <w:rFonts w:cstheme="minorHAnsi"/>
          <w:noProof/>
          <w:sz w:val="18"/>
          <w:szCs w:val="18"/>
        </w:rPr>
      </w:pPr>
    </w:p>
    <w:p w14:paraId="1ED0B0EF" w14:textId="23181BA7" w:rsidR="00E31A61" w:rsidRPr="000F5186" w:rsidRDefault="000F5186" w:rsidP="00632FD7">
      <w:pPr>
        <w:jc w:val="both"/>
        <w:rPr>
          <w:b/>
          <w:bCs/>
          <w:sz w:val="18"/>
          <w:szCs w:val="18"/>
        </w:rPr>
      </w:pPr>
      <w:r w:rsidRPr="000F5186">
        <w:rPr>
          <w:b/>
          <w:bCs/>
          <w:sz w:val="18"/>
          <w:szCs w:val="18"/>
        </w:rPr>
        <w:t>Source: FMDQ, AIICO Capital</w:t>
      </w:r>
    </w:p>
    <w:p w14:paraId="1FF73A05" w14:textId="593ADF2C" w:rsidR="00D019DE" w:rsidRDefault="00632FD7" w:rsidP="000F0DC5">
      <w:pPr>
        <w:spacing w:line="360" w:lineRule="auto"/>
        <w:jc w:val="both"/>
        <w:rPr>
          <w:rFonts w:cstheme="minorHAnsi"/>
          <w:sz w:val="18"/>
          <w:szCs w:val="18"/>
        </w:rPr>
      </w:pPr>
      <w:r w:rsidRPr="00F36964">
        <w:rPr>
          <w:rFonts w:cstheme="minorHAnsi"/>
          <w:b/>
          <w:color w:val="000000" w:themeColor="text1"/>
          <w:sz w:val="20"/>
          <w:szCs w:val="20"/>
          <w:u w:val="single"/>
        </w:rPr>
        <w:t>Outlook:</w:t>
      </w:r>
      <w:r>
        <w:rPr>
          <w:rFonts w:cstheme="minorHAnsi"/>
          <w:b/>
          <w:color w:val="000000" w:themeColor="text1"/>
          <w:sz w:val="20"/>
          <w:szCs w:val="20"/>
        </w:rPr>
        <w:t xml:space="preserve"> </w:t>
      </w:r>
      <w:r w:rsidR="00491AF9" w:rsidRPr="00491AF9">
        <w:rPr>
          <w:rFonts w:cstheme="minorHAnsi"/>
          <w:sz w:val="18"/>
          <w:szCs w:val="18"/>
        </w:rPr>
        <w:t xml:space="preserve">The meagre amount of coupon (c.₦22.03 billion) should drive little to no demand, thus a relatively </w:t>
      </w:r>
      <w:r w:rsidR="007A7436">
        <w:rPr>
          <w:rFonts w:cstheme="minorHAnsi"/>
          <w:sz w:val="18"/>
          <w:szCs w:val="18"/>
        </w:rPr>
        <w:t xml:space="preserve">muted to </w:t>
      </w:r>
      <w:r w:rsidR="00491AF9" w:rsidRPr="00491AF9">
        <w:rPr>
          <w:rFonts w:cstheme="minorHAnsi"/>
          <w:sz w:val="18"/>
          <w:szCs w:val="18"/>
        </w:rPr>
        <w:t>bearish market is envisaged</w:t>
      </w:r>
      <w:r w:rsidR="00491AF9">
        <w:rPr>
          <w:rFonts w:cstheme="minorHAnsi"/>
          <w:sz w:val="18"/>
          <w:szCs w:val="18"/>
        </w:rPr>
        <w:t>.</w:t>
      </w:r>
    </w:p>
    <w:p w14:paraId="751143DA" w14:textId="77777777" w:rsidR="00D158A6" w:rsidRDefault="00D158A6" w:rsidP="000F0DC5">
      <w:pPr>
        <w:spacing w:line="360" w:lineRule="auto"/>
        <w:jc w:val="both"/>
        <w:rPr>
          <w:b/>
          <w:bCs/>
          <w:i/>
          <w:iCs/>
          <w:sz w:val="18"/>
          <w:szCs w:val="18"/>
          <w:highlight w:val="yellow"/>
        </w:rPr>
      </w:pPr>
    </w:p>
    <w:p w14:paraId="69ACFEE4" w14:textId="3B156B0D" w:rsidR="00990FD8" w:rsidRPr="00D158A6" w:rsidRDefault="005D19C6" w:rsidP="00990FD8">
      <w:pPr>
        <w:spacing w:line="360" w:lineRule="auto"/>
        <w:jc w:val="both"/>
        <w:rPr>
          <w:b/>
          <w:bCs/>
          <w:i/>
          <w:iCs/>
          <w:color w:val="595959" w:themeColor="text1" w:themeTint="A6"/>
          <w:sz w:val="18"/>
          <w:szCs w:val="18"/>
        </w:rPr>
      </w:pPr>
      <w:r w:rsidRPr="00AA0CF8">
        <w:rPr>
          <w:b/>
          <w:bCs/>
          <w:color w:val="000000" w:themeColor="text1"/>
          <w:sz w:val="20"/>
          <w:szCs w:val="20"/>
          <w:u w:val="single"/>
        </w:rPr>
        <w:t>Eurobond Market</w:t>
      </w:r>
      <w:r w:rsidRPr="00AA0CF8">
        <w:rPr>
          <w:b/>
          <w:bCs/>
          <w:color w:val="000000" w:themeColor="text1"/>
          <w:sz w:val="20"/>
          <w:szCs w:val="20"/>
        </w:rPr>
        <w:t xml:space="preserve"> </w:t>
      </w:r>
      <w:r w:rsidRPr="72409F61">
        <w:rPr>
          <w:b/>
          <w:bCs/>
          <w:color w:val="595959" w:themeColor="text1" w:themeTint="A6"/>
          <w:sz w:val="20"/>
          <w:szCs w:val="20"/>
        </w:rPr>
        <w:t>-</w:t>
      </w:r>
      <w:r w:rsidR="00495AED" w:rsidRPr="00495AED">
        <w:t xml:space="preserve"> </w:t>
      </w:r>
      <w:r w:rsidR="007A7436" w:rsidRPr="007A7436">
        <w:rPr>
          <w:b/>
          <w:bCs/>
          <w:i/>
          <w:iCs/>
          <w:color w:val="595959" w:themeColor="text1" w:themeTint="A6"/>
          <w:sz w:val="19"/>
          <w:szCs w:val="19"/>
        </w:rPr>
        <w:t>Mixed to Bearish theme amid lower US inflation and underwhelming GDP report.</w:t>
      </w:r>
    </w:p>
    <w:p w14:paraId="2346996A" w14:textId="77777777" w:rsidR="007A7436" w:rsidRPr="007A7436" w:rsidRDefault="007A7436" w:rsidP="007A7436">
      <w:pPr>
        <w:spacing w:line="360" w:lineRule="auto"/>
        <w:jc w:val="both"/>
        <w:rPr>
          <w:rFonts w:cstheme="minorHAnsi"/>
          <w:sz w:val="18"/>
          <w:szCs w:val="18"/>
        </w:rPr>
      </w:pPr>
      <w:r w:rsidRPr="007A7436">
        <w:rPr>
          <w:rFonts w:cstheme="minorHAnsi"/>
          <w:sz w:val="18"/>
          <w:szCs w:val="18"/>
        </w:rPr>
        <w:t xml:space="preserve">Positive jitters dominated the early periods in the Eurobonds market, amid the intended production cut by the OPEC+ members. The optimism around increase in crude oil price drove buyside interests for most oil producing countries, like Nigeria, as well as the spillover effect across the SSA region. However, a sharp decline in US Jobs Opening data spurred mild selloffs across the curves. </w:t>
      </w:r>
    </w:p>
    <w:p w14:paraId="66783386" w14:textId="77777777" w:rsidR="007A7436" w:rsidRPr="007A7436" w:rsidRDefault="007A7436" w:rsidP="007A7436">
      <w:pPr>
        <w:spacing w:line="360" w:lineRule="auto"/>
        <w:jc w:val="both"/>
        <w:rPr>
          <w:rFonts w:cstheme="minorHAnsi"/>
          <w:sz w:val="18"/>
          <w:szCs w:val="18"/>
        </w:rPr>
      </w:pPr>
      <w:r w:rsidRPr="007A7436">
        <w:rPr>
          <w:rFonts w:cstheme="minorHAnsi"/>
          <w:sz w:val="18"/>
          <w:szCs w:val="18"/>
        </w:rPr>
        <w:t>The bearish theme was short-lived following the release of the U.S CPI report, which printed the U.S headline inflation rate at 5.00%, depicting a 0.20% below the 5.2% estimates. The market then geared up for a rebound, with hopes for an early halt in policy tightening.</w:t>
      </w:r>
    </w:p>
    <w:p w14:paraId="51C2B80A" w14:textId="2C5D887A" w:rsidR="00D158A6" w:rsidRPr="00D158A6" w:rsidRDefault="007A7436" w:rsidP="007A7436">
      <w:pPr>
        <w:spacing w:line="360" w:lineRule="auto"/>
        <w:jc w:val="both"/>
        <w:rPr>
          <w:rFonts w:cstheme="minorHAnsi"/>
          <w:sz w:val="18"/>
          <w:szCs w:val="18"/>
        </w:rPr>
      </w:pPr>
      <w:r w:rsidRPr="007A7436">
        <w:rPr>
          <w:rFonts w:cstheme="minorHAnsi"/>
          <w:sz w:val="18"/>
          <w:szCs w:val="18"/>
        </w:rPr>
        <w:t>The market took a U-turn to close the month after the Bureau of Economic Analysis of U.S reported the U.S Q1'2023’s GDP real growth rate at 1.10%, which fueled fears of a recession as market expected a 2.0% real growth rate</w:t>
      </w:r>
      <w:r w:rsidR="00D158A6" w:rsidRPr="00D158A6">
        <w:rPr>
          <w:rFonts w:cstheme="minorHAnsi"/>
          <w:sz w:val="18"/>
          <w:szCs w:val="18"/>
        </w:rPr>
        <w:t>.</w:t>
      </w:r>
    </w:p>
    <w:p w14:paraId="4EBB729C" w14:textId="77777777" w:rsidR="00443824" w:rsidRDefault="00443824" w:rsidP="002F64B4">
      <w:pPr>
        <w:pBdr>
          <w:bottom w:val="single" w:sz="4" w:space="1" w:color="595959" w:themeColor="text1" w:themeTint="A6"/>
        </w:pBdr>
        <w:spacing w:line="360" w:lineRule="auto"/>
        <w:jc w:val="both"/>
        <w:rPr>
          <w:rFonts w:cstheme="minorHAnsi"/>
          <w:sz w:val="18"/>
          <w:szCs w:val="18"/>
        </w:rPr>
      </w:pPr>
      <w:r w:rsidRPr="00443824">
        <w:rPr>
          <w:rFonts w:cstheme="minorHAnsi"/>
          <w:sz w:val="18"/>
          <w:szCs w:val="18"/>
        </w:rPr>
        <w:t xml:space="preserve">Overall, the average mid-yield across Nigeria’s Eurobond curve expanded by c.46bps M-o-M to close at 12.29%. </w:t>
      </w:r>
    </w:p>
    <w:p w14:paraId="63D6C547" w14:textId="0AFE0967" w:rsidR="00E4302F" w:rsidRDefault="00EE60E3" w:rsidP="002F64B4">
      <w:pPr>
        <w:pBdr>
          <w:bottom w:val="single" w:sz="4" w:space="1" w:color="595959" w:themeColor="text1" w:themeTint="A6"/>
        </w:pBdr>
        <w:spacing w:line="360" w:lineRule="auto"/>
        <w:jc w:val="both"/>
        <w:rPr>
          <w:rFonts w:ascii="Calibri" w:eastAsia="Calibri" w:hAnsi="Calibri" w:cs="Calibri"/>
          <w:sz w:val="18"/>
          <w:szCs w:val="18"/>
        </w:rPr>
      </w:pPr>
      <w:r w:rsidRPr="00EE60E3">
        <w:rPr>
          <w:rFonts w:ascii="Calibri" w:eastAsia="Calibri" w:hAnsi="Calibri" w:cs="Calibri"/>
          <w:b/>
          <w:bCs/>
          <w:sz w:val="18"/>
          <w:szCs w:val="18"/>
        </w:rPr>
        <w:t>Other notable informatio</w:t>
      </w:r>
      <w:r>
        <w:rPr>
          <w:rFonts w:ascii="Calibri" w:eastAsia="Calibri" w:hAnsi="Calibri" w:cs="Calibri"/>
          <w:b/>
          <w:bCs/>
          <w:sz w:val="18"/>
          <w:szCs w:val="18"/>
        </w:rPr>
        <w:t>n</w:t>
      </w:r>
      <w:r w:rsidR="00C4647B" w:rsidRPr="00C4647B">
        <w:rPr>
          <w:rFonts w:ascii="Calibri" w:eastAsia="Calibri" w:hAnsi="Calibri" w:cs="Calibri"/>
          <w:b/>
          <w:bCs/>
          <w:sz w:val="18"/>
          <w:szCs w:val="18"/>
        </w:rPr>
        <w:t>:</w:t>
      </w:r>
      <w:r w:rsidR="00C4647B" w:rsidRPr="00C4647B">
        <w:rPr>
          <w:rFonts w:ascii="Calibri" w:eastAsia="Calibri" w:hAnsi="Calibri" w:cs="Calibri"/>
          <w:sz w:val="18"/>
          <w:szCs w:val="18"/>
        </w:rPr>
        <w:t xml:space="preserve"> </w:t>
      </w:r>
    </w:p>
    <w:p w14:paraId="332350FD" w14:textId="483FCB7C" w:rsidR="00443824" w:rsidRPr="00443824" w:rsidRDefault="00443824" w:rsidP="00443824">
      <w:pPr>
        <w:pStyle w:val="ListParagraph"/>
        <w:numPr>
          <w:ilvl w:val="0"/>
          <w:numId w:val="8"/>
        </w:numPr>
        <w:spacing w:line="360" w:lineRule="auto"/>
        <w:jc w:val="both"/>
        <w:rPr>
          <w:rFonts w:cstheme="minorHAnsi"/>
          <w:i/>
          <w:iCs/>
          <w:sz w:val="18"/>
          <w:szCs w:val="18"/>
        </w:rPr>
      </w:pPr>
      <w:r w:rsidRPr="00443824">
        <w:rPr>
          <w:rFonts w:cstheme="minorHAnsi"/>
          <w:i/>
          <w:iCs/>
          <w:sz w:val="18"/>
          <w:szCs w:val="18"/>
        </w:rPr>
        <w:t>Nigeria received $800 million loan from World Bank, which is intended to facilitate the execution of the long-discussed "fuel subsidy removal”.</w:t>
      </w:r>
    </w:p>
    <w:p w14:paraId="6CE6CF2D" w14:textId="682DEBC6" w:rsidR="00443824" w:rsidRPr="00443824" w:rsidRDefault="00443824" w:rsidP="00443824">
      <w:pPr>
        <w:pStyle w:val="ListParagraph"/>
        <w:numPr>
          <w:ilvl w:val="0"/>
          <w:numId w:val="8"/>
        </w:numPr>
        <w:spacing w:line="360" w:lineRule="auto"/>
        <w:jc w:val="both"/>
        <w:rPr>
          <w:rFonts w:cstheme="minorHAnsi"/>
          <w:i/>
          <w:iCs/>
          <w:sz w:val="18"/>
          <w:szCs w:val="18"/>
        </w:rPr>
      </w:pPr>
      <w:r w:rsidRPr="00443824">
        <w:rPr>
          <w:rFonts w:cstheme="minorHAnsi"/>
          <w:i/>
          <w:iCs/>
          <w:sz w:val="18"/>
          <w:szCs w:val="18"/>
        </w:rPr>
        <w:t>Nigeria suspended her plans to remove fuel subsidy by June 2023.</w:t>
      </w:r>
    </w:p>
    <w:p w14:paraId="6DA6E64F" w14:textId="44BBEFB9" w:rsidR="00443824" w:rsidRPr="00443824" w:rsidRDefault="00443824" w:rsidP="00443824">
      <w:pPr>
        <w:pStyle w:val="ListParagraph"/>
        <w:numPr>
          <w:ilvl w:val="0"/>
          <w:numId w:val="8"/>
        </w:numPr>
        <w:spacing w:line="360" w:lineRule="auto"/>
        <w:jc w:val="both"/>
        <w:rPr>
          <w:rFonts w:cstheme="minorHAnsi"/>
          <w:i/>
          <w:iCs/>
          <w:sz w:val="18"/>
          <w:szCs w:val="18"/>
        </w:rPr>
      </w:pPr>
      <w:r w:rsidRPr="00443824">
        <w:rPr>
          <w:rFonts w:cstheme="minorHAnsi"/>
          <w:i/>
          <w:iCs/>
          <w:sz w:val="18"/>
          <w:szCs w:val="18"/>
        </w:rPr>
        <w:lastRenderedPageBreak/>
        <w:t>Ghana’s government held an Investors presentation meeting where they described in detail, the terms of the IMF deal, the ambitious macroeconomic objectives for the medium term and the progressive talks with external debt holders as part of the debt restructuring program.</w:t>
      </w:r>
    </w:p>
    <w:p w14:paraId="02638F45" w14:textId="4F9547E5" w:rsidR="00AB0FAF" w:rsidRPr="00443824" w:rsidRDefault="00443824" w:rsidP="00443824">
      <w:pPr>
        <w:pStyle w:val="ListParagraph"/>
        <w:numPr>
          <w:ilvl w:val="0"/>
          <w:numId w:val="8"/>
        </w:numPr>
        <w:spacing w:line="360" w:lineRule="auto"/>
        <w:jc w:val="both"/>
        <w:rPr>
          <w:rFonts w:cstheme="minorHAnsi"/>
          <w:i/>
          <w:iCs/>
          <w:sz w:val="18"/>
          <w:szCs w:val="18"/>
        </w:rPr>
      </w:pPr>
      <w:r w:rsidRPr="00443824">
        <w:rPr>
          <w:rFonts w:cstheme="minorHAnsi"/>
          <w:i/>
          <w:iCs/>
          <w:sz w:val="18"/>
          <w:szCs w:val="18"/>
        </w:rPr>
        <w:t>Kenya announced plans to raise $2 billion from the Eurobond market, to facilitate the redemption of the July 2024 maturity</w:t>
      </w:r>
      <w:r w:rsidR="00326CC0" w:rsidRPr="00326CC0">
        <w:rPr>
          <w:rFonts w:cstheme="minorHAnsi"/>
          <w:i/>
          <w:iCs/>
          <w:sz w:val="18"/>
          <w:szCs w:val="18"/>
        </w:rPr>
        <w:t>.</w:t>
      </w:r>
    </w:p>
    <w:p w14:paraId="355A13A2" w14:textId="26959300" w:rsidR="000B510A" w:rsidRPr="000B510A" w:rsidRDefault="000B510A" w:rsidP="004760CA">
      <w:pPr>
        <w:pBdr>
          <w:bottom w:val="single" w:sz="4" w:space="0" w:color="595959" w:themeColor="text1" w:themeTint="A6"/>
        </w:pBdr>
        <w:spacing w:line="360" w:lineRule="auto"/>
        <w:jc w:val="both"/>
        <w:rPr>
          <w:rFonts w:cstheme="minorHAnsi"/>
          <w:b/>
          <w:sz w:val="18"/>
          <w:szCs w:val="18"/>
        </w:rPr>
      </w:pPr>
      <w:r>
        <w:rPr>
          <w:b/>
          <w:bCs/>
          <w:noProof/>
          <w:sz w:val="18"/>
          <w:szCs w:val="18"/>
        </w:rPr>
        <mc:AlternateContent>
          <mc:Choice Requires="wps">
            <w:drawing>
              <wp:anchor distT="0" distB="0" distL="114300" distR="114300" simplePos="0" relativeHeight="251692037" behindDoc="0" locked="0" layoutInCell="1" allowOverlap="1" wp14:anchorId="698B142A" wp14:editId="2628E487">
                <wp:simplePos x="0" y="0"/>
                <wp:positionH relativeFrom="margin">
                  <wp:align>right</wp:align>
                </wp:positionH>
                <wp:positionV relativeFrom="paragraph">
                  <wp:posOffset>170815</wp:posOffset>
                </wp:positionV>
                <wp:extent cx="6377940" cy="7620"/>
                <wp:effectExtent l="0" t="0" r="22860" b="30480"/>
                <wp:wrapNone/>
                <wp:docPr id="11" name="Straight Connector 11"/>
                <wp:cNvGraphicFramePr/>
                <a:graphic xmlns:a="http://schemas.openxmlformats.org/drawingml/2006/main">
                  <a:graphicData uri="http://schemas.microsoft.com/office/word/2010/wordprocessingShape">
                    <wps:wsp>
                      <wps:cNvCnPr/>
                      <wps:spPr>
                        <a:xfrm>
                          <a:off x="0" y="0"/>
                          <a:ext cx="63779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05EC6" id="Straight Connector 11" o:spid="_x0000_s1026" style="position:absolute;z-index:2516920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1pt,13.45pt" to="953.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" strokecolor="black [3200]" strokeweight=".5pt">
                <v:stroke joinstyle="miter"/>
                <w10:wrap anchorx="margin"/>
              </v:line>
            </w:pict>
          </mc:Fallback>
        </mc:AlternateContent>
      </w:r>
      <w:r w:rsidRPr="72409F61">
        <w:rPr>
          <w:b/>
          <w:bCs/>
          <w:sz w:val="18"/>
          <w:szCs w:val="18"/>
        </w:rPr>
        <w:t xml:space="preserve">Chart </w:t>
      </w:r>
      <w:r w:rsidR="00AC2791">
        <w:rPr>
          <w:b/>
          <w:bCs/>
          <w:sz w:val="18"/>
          <w:szCs w:val="18"/>
        </w:rPr>
        <w:t>5</w:t>
      </w:r>
      <w:r w:rsidRPr="72409F61">
        <w:rPr>
          <w:b/>
          <w:bCs/>
          <w:sz w:val="18"/>
          <w:szCs w:val="18"/>
        </w:rPr>
        <w:t xml:space="preserve"> – Sovereign Eurobond Yield Curve</w:t>
      </w:r>
    </w:p>
    <w:p w14:paraId="51D39031" w14:textId="0BF146B6" w:rsidR="00D158A6" w:rsidRPr="00F15D27" w:rsidRDefault="002D59B8" w:rsidP="004760CA">
      <w:pPr>
        <w:pBdr>
          <w:bottom w:val="single" w:sz="4" w:space="0" w:color="595959" w:themeColor="text1" w:themeTint="A6"/>
        </w:pBdr>
        <w:spacing w:line="360" w:lineRule="auto"/>
        <w:jc w:val="both"/>
        <w:rPr>
          <w:rFonts w:cstheme="minorHAnsi"/>
          <w:b/>
          <w:color w:val="000000" w:themeColor="text1"/>
          <w:sz w:val="20"/>
          <w:szCs w:val="20"/>
        </w:rPr>
      </w:pPr>
      <w:r>
        <w:rPr>
          <w:noProof/>
        </w:rPr>
        <w:drawing>
          <wp:anchor distT="0" distB="0" distL="114300" distR="114300" simplePos="0" relativeHeight="251749381" behindDoc="0" locked="0" layoutInCell="1" allowOverlap="1" wp14:anchorId="602FA61D" wp14:editId="185709DE">
            <wp:simplePos x="0" y="0"/>
            <wp:positionH relativeFrom="column">
              <wp:posOffset>0</wp:posOffset>
            </wp:positionH>
            <wp:positionV relativeFrom="paragraph">
              <wp:posOffset>-1905</wp:posOffset>
            </wp:positionV>
            <wp:extent cx="6309360" cy="2011680"/>
            <wp:effectExtent l="0" t="0" r="0" b="7620"/>
            <wp:wrapSquare wrapText="bothSides"/>
            <wp:docPr id="669422891" name="Chart 1">
              <a:extLst xmlns:a="http://schemas.openxmlformats.org/drawingml/2006/main">
                <a:ext uri="{FF2B5EF4-FFF2-40B4-BE49-F238E27FC236}">
                  <a16:creationId xmlns:a16="http://schemas.microsoft.com/office/drawing/2014/main" id="{01F815B3-BBBD-4F2A-B25F-3DFB321AD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F15D27">
        <w:rPr>
          <w:rFonts w:cstheme="minorHAnsi"/>
          <w:b/>
          <w:color w:val="000000" w:themeColor="text1"/>
          <w:sz w:val="20"/>
          <w:szCs w:val="20"/>
        </w:rPr>
        <w:t xml:space="preserve"> </w:t>
      </w:r>
      <w:r w:rsidR="004760CA" w:rsidRPr="00F15D27">
        <w:rPr>
          <w:rFonts w:cstheme="minorHAnsi"/>
          <w:b/>
          <w:color w:val="000000" w:themeColor="text1"/>
          <w:sz w:val="20"/>
          <w:szCs w:val="20"/>
        </w:rPr>
        <w:t>Source: FBN UK, AIICO Capital</w:t>
      </w:r>
    </w:p>
    <w:p w14:paraId="734DC301" w14:textId="285A7F48" w:rsidR="00D57EAC" w:rsidRDefault="00392C2D" w:rsidP="003D170D">
      <w:pPr>
        <w:spacing w:line="360" w:lineRule="auto"/>
        <w:jc w:val="both"/>
        <w:rPr>
          <w:rFonts w:cstheme="minorHAnsi"/>
          <w:noProof/>
          <w:sz w:val="18"/>
          <w:szCs w:val="18"/>
        </w:rPr>
      </w:pPr>
      <w:r w:rsidRPr="00F36964">
        <w:rPr>
          <w:rFonts w:cstheme="minorHAnsi"/>
          <w:b/>
          <w:color w:val="000000" w:themeColor="text1"/>
          <w:sz w:val="20"/>
          <w:szCs w:val="20"/>
          <w:u w:val="single"/>
        </w:rPr>
        <w:t>Outlook:</w:t>
      </w:r>
      <w:r>
        <w:rPr>
          <w:rFonts w:cstheme="minorHAnsi"/>
          <w:b/>
          <w:color w:val="000000" w:themeColor="text1"/>
          <w:sz w:val="20"/>
          <w:szCs w:val="20"/>
        </w:rPr>
        <w:t xml:space="preserve"> </w:t>
      </w:r>
      <w:r w:rsidR="002D59B8" w:rsidRPr="002D59B8">
        <w:rPr>
          <w:rFonts w:cstheme="minorHAnsi"/>
          <w:noProof/>
          <w:sz w:val="18"/>
          <w:szCs w:val="18"/>
        </w:rPr>
        <w:t>The broad expectation is that the FOMC meeting in May 2023 may be the last in the rate-hike cycle given the already jittery market on the back of sky-high US debt ceiling and risk in the banking sector. We also expect a concrete update on Ghana’s foreign debt restructuring</w:t>
      </w:r>
      <w:r w:rsidR="005F6928" w:rsidRPr="005F6928">
        <w:rPr>
          <w:rFonts w:cstheme="minorHAnsi"/>
          <w:noProof/>
          <w:sz w:val="18"/>
          <w:szCs w:val="18"/>
        </w:rPr>
        <w:t>.</w:t>
      </w:r>
    </w:p>
    <w:p w14:paraId="4A677767" w14:textId="77777777" w:rsidR="00C7052F" w:rsidRDefault="00C7052F" w:rsidP="003D170D">
      <w:pPr>
        <w:spacing w:line="360" w:lineRule="auto"/>
        <w:jc w:val="both"/>
        <w:rPr>
          <w:rFonts w:ascii="Calibri" w:eastAsia="Calibri" w:hAnsi="Calibri" w:cs="Calibri"/>
          <w:sz w:val="18"/>
          <w:szCs w:val="18"/>
        </w:rPr>
      </w:pPr>
    </w:p>
    <w:p w14:paraId="7B5BA4C4" w14:textId="77777777" w:rsidR="00C7052F" w:rsidRDefault="00FB018F" w:rsidP="0079536F">
      <w:pPr>
        <w:spacing w:line="360" w:lineRule="auto"/>
        <w:jc w:val="both"/>
        <w:rPr>
          <w:b/>
          <w:bCs/>
          <w:i/>
          <w:iCs/>
          <w:color w:val="595959" w:themeColor="text1" w:themeTint="A6"/>
          <w:sz w:val="18"/>
          <w:szCs w:val="18"/>
        </w:rPr>
      </w:pPr>
      <w:r w:rsidRPr="006C7D68">
        <w:rPr>
          <w:b/>
          <w:bCs/>
          <w:color w:val="000000" w:themeColor="text1"/>
          <w:sz w:val="20"/>
          <w:szCs w:val="20"/>
          <w:u w:val="single"/>
        </w:rPr>
        <w:t>Foreign Exchange Market Review and Outloo</w:t>
      </w:r>
      <w:r w:rsidR="006C7D68" w:rsidRPr="006C7D68">
        <w:rPr>
          <w:b/>
          <w:bCs/>
          <w:color w:val="000000" w:themeColor="text1"/>
          <w:sz w:val="20"/>
          <w:szCs w:val="20"/>
          <w:u w:val="single"/>
        </w:rPr>
        <w:t>k</w:t>
      </w:r>
      <w:r w:rsidR="006C7D68" w:rsidRPr="006C7D68">
        <w:rPr>
          <w:b/>
          <w:bCs/>
          <w:color w:val="000000" w:themeColor="text1"/>
          <w:sz w:val="20"/>
          <w:szCs w:val="20"/>
        </w:rPr>
        <w:t xml:space="preserve"> </w:t>
      </w:r>
      <w:r w:rsidR="005B0009">
        <w:rPr>
          <w:b/>
          <w:bCs/>
          <w:color w:val="000000" w:themeColor="text1"/>
          <w:sz w:val="20"/>
          <w:szCs w:val="20"/>
        </w:rPr>
        <w:t>-</w:t>
      </w:r>
      <w:r w:rsidR="00D158A6" w:rsidRPr="00D158A6">
        <w:rPr>
          <w:b/>
          <w:bCs/>
          <w:i/>
          <w:iCs/>
          <w:color w:val="595959" w:themeColor="text1" w:themeTint="A6"/>
          <w:sz w:val="18"/>
          <w:szCs w:val="18"/>
        </w:rPr>
        <w:t xml:space="preserve"> </w:t>
      </w:r>
      <w:r w:rsidR="00C7052F" w:rsidRPr="00C7052F">
        <w:rPr>
          <w:b/>
          <w:bCs/>
          <w:i/>
          <w:iCs/>
          <w:color w:val="595959" w:themeColor="text1" w:themeTint="A6"/>
          <w:sz w:val="18"/>
          <w:szCs w:val="18"/>
        </w:rPr>
        <w:t>Prolonged decline in Gross FX reserves; Naira depreciates further against the dollar at the I&amp;E Window.</w:t>
      </w:r>
    </w:p>
    <w:p w14:paraId="05ABE5DC" w14:textId="73FCC90F" w:rsidR="00581307" w:rsidRDefault="00C7052F" w:rsidP="0079536F">
      <w:pPr>
        <w:spacing w:line="360" w:lineRule="auto"/>
        <w:jc w:val="both"/>
        <w:rPr>
          <w:rFonts w:cstheme="minorHAnsi"/>
          <w:sz w:val="18"/>
          <w:szCs w:val="18"/>
        </w:rPr>
      </w:pPr>
      <w:r w:rsidRPr="00C7052F">
        <w:rPr>
          <w:b/>
          <w:bCs/>
          <w:i/>
          <w:iCs/>
          <w:color w:val="595959" w:themeColor="text1" w:themeTint="A6"/>
          <w:sz w:val="18"/>
          <w:szCs w:val="18"/>
        </w:rPr>
        <w:t xml:space="preserve"> </w:t>
      </w:r>
      <w:r w:rsidRPr="00C7052F">
        <w:rPr>
          <w:rFonts w:cstheme="minorHAnsi"/>
          <w:sz w:val="18"/>
          <w:szCs w:val="18"/>
        </w:rPr>
        <w:t>Activity in the FX market was relatively muted, with medium-scale volatility in rates. Cash trades at the unofficial window traded mostly between $/₦733 - $/₦741, while Inflows closed at $/₦745. However, at the official window, NAFEX rate closed at $/₦462.70 in Apr’2023, representing a ₦1.55k depreciation when compared with previous month’s close of $/₦461.15, while there was a ₦1.62k depreciation at the I&amp;E window, as it closed at $/₦463.00. The Gross external reserves closed at c.$35.25 billion compared with $35.50 billion as at close of Mar’2023, representing a decline of c.$250 million. The sustained interventions by the CBN to support the naira, sub-par oil production, stiffer global financial situations, and the sustained fall in the crude oil price, are some of the factors that have affected the reserves</w:t>
      </w:r>
      <w:r w:rsidR="00985EB9">
        <w:rPr>
          <w:rFonts w:cstheme="minorHAnsi"/>
          <w:sz w:val="18"/>
          <w:szCs w:val="18"/>
        </w:rPr>
        <w:t>.</w:t>
      </w:r>
    </w:p>
    <w:p w14:paraId="2E9DCD7D" w14:textId="7F2BA96F" w:rsidR="00581307" w:rsidRPr="004A59B6" w:rsidRDefault="00581307" w:rsidP="00581307">
      <w:pPr>
        <w:spacing w:line="360" w:lineRule="auto"/>
        <w:jc w:val="both"/>
        <w:rPr>
          <w:rFonts w:cstheme="minorHAnsi"/>
          <w:sz w:val="18"/>
          <w:szCs w:val="18"/>
          <w:highlight w:val="yellow"/>
        </w:rPr>
      </w:pPr>
      <w:r w:rsidRPr="00F36964">
        <w:rPr>
          <w:rFonts w:cstheme="minorHAnsi"/>
          <w:b/>
          <w:color w:val="000000" w:themeColor="text1"/>
          <w:sz w:val="20"/>
          <w:szCs w:val="20"/>
          <w:u w:val="single"/>
        </w:rPr>
        <w:t>Outlook:</w:t>
      </w:r>
      <w:r>
        <w:rPr>
          <w:rFonts w:cstheme="minorHAnsi"/>
          <w:b/>
          <w:color w:val="000000" w:themeColor="text1"/>
          <w:sz w:val="20"/>
          <w:szCs w:val="20"/>
        </w:rPr>
        <w:t xml:space="preserve"> </w:t>
      </w:r>
      <w:r w:rsidR="005D1F7F" w:rsidRPr="005D1F7F">
        <w:rPr>
          <w:rFonts w:cstheme="minorHAnsi"/>
          <w:sz w:val="18"/>
          <w:szCs w:val="18"/>
        </w:rPr>
        <w:t>We expect continued strain in the Gross FX reserves, albeit OPEC+ suggested cuts should support oil prices and possibly improve FX remits</w:t>
      </w:r>
      <w:r w:rsidR="00D158A6">
        <w:rPr>
          <w:rFonts w:cstheme="minorHAnsi"/>
          <w:sz w:val="18"/>
          <w:szCs w:val="18"/>
        </w:rPr>
        <w:t>.</w:t>
      </w:r>
    </w:p>
    <w:p w14:paraId="7CEA0A20" w14:textId="3B21A240" w:rsidR="001703BD" w:rsidRDefault="001703BD" w:rsidP="00F61E41">
      <w:pPr>
        <w:spacing w:line="360" w:lineRule="auto"/>
        <w:jc w:val="both"/>
        <w:rPr>
          <w:rFonts w:cstheme="minorHAnsi"/>
          <w:b/>
          <w:bCs/>
          <w:i/>
          <w:iCs/>
          <w:sz w:val="18"/>
          <w:szCs w:val="18"/>
        </w:rPr>
      </w:pPr>
    </w:p>
    <w:p w14:paraId="087BE685" w14:textId="77777777" w:rsidR="005D1F7F" w:rsidRDefault="005D1F7F" w:rsidP="00F61E41">
      <w:pPr>
        <w:spacing w:line="360" w:lineRule="auto"/>
        <w:jc w:val="both"/>
        <w:rPr>
          <w:rFonts w:cstheme="minorHAnsi"/>
          <w:b/>
          <w:bCs/>
          <w:i/>
          <w:iCs/>
          <w:sz w:val="18"/>
          <w:szCs w:val="18"/>
        </w:rPr>
      </w:pPr>
    </w:p>
    <w:p w14:paraId="77582439" w14:textId="294AEEEB" w:rsidR="00F61E41" w:rsidRPr="006C4331" w:rsidRDefault="00F61E41" w:rsidP="00F61E41">
      <w:pPr>
        <w:spacing w:line="360" w:lineRule="auto"/>
        <w:jc w:val="both"/>
        <w:rPr>
          <w:rFonts w:cstheme="minorHAnsi"/>
          <w:b/>
          <w:bCs/>
          <w:color w:val="002060"/>
          <w:sz w:val="20"/>
          <w:szCs w:val="20"/>
          <w:u w:val="single"/>
        </w:rPr>
      </w:pPr>
      <w:r w:rsidRPr="006C4331">
        <w:rPr>
          <w:rFonts w:cstheme="minorHAnsi"/>
          <w:b/>
          <w:bCs/>
          <w:color w:val="002060"/>
          <w:sz w:val="20"/>
          <w:szCs w:val="20"/>
          <w:u w:val="single"/>
        </w:rPr>
        <w:lastRenderedPageBreak/>
        <w:t>Equities Market Review and Outlook</w:t>
      </w:r>
    </w:p>
    <w:p w14:paraId="0B729C71" w14:textId="1BC56BB6" w:rsidR="00F61E41" w:rsidRPr="00542BF5" w:rsidRDefault="00AA1433" w:rsidP="00F61E41">
      <w:pPr>
        <w:spacing w:line="360" w:lineRule="auto"/>
        <w:jc w:val="both"/>
        <w:rPr>
          <w:rFonts w:cstheme="minorHAnsi"/>
          <w:b/>
          <w:sz w:val="18"/>
          <w:szCs w:val="18"/>
          <w:highlight w:val="yellow"/>
        </w:rPr>
      </w:pPr>
      <w:r w:rsidRPr="00542BF5">
        <w:rPr>
          <w:rFonts w:cstheme="minorHAnsi"/>
          <w:b/>
          <w:sz w:val="20"/>
          <w:szCs w:val="20"/>
          <w:u w:val="single"/>
        </w:rPr>
        <w:t>Equities Market Performance in</w:t>
      </w:r>
      <w:r w:rsidR="00230207" w:rsidRPr="00542BF5">
        <w:rPr>
          <w:rFonts w:cstheme="minorHAnsi"/>
          <w:b/>
          <w:sz w:val="20"/>
          <w:szCs w:val="20"/>
          <w:u w:val="single"/>
        </w:rPr>
        <w:t xml:space="preserve"> </w:t>
      </w:r>
      <w:r w:rsidR="002812EC">
        <w:rPr>
          <w:rFonts w:cstheme="minorHAnsi"/>
          <w:b/>
          <w:sz w:val="20"/>
          <w:szCs w:val="20"/>
          <w:u w:val="single"/>
        </w:rPr>
        <w:t>April</w:t>
      </w:r>
      <w:r w:rsidR="005A51AB" w:rsidRPr="00542BF5">
        <w:rPr>
          <w:rFonts w:cstheme="minorHAnsi"/>
          <w:b/>
          <w:sz w:val="20"/>
          <w:szCs w:val="20"/>
          <w:u w:val="single"/>
        </w:rPr>
        <w:t xml:space="preserve"> </w:t>
      </w:r>
      <w:r w:rsidR="000D5077" w:rsidRPr="00542BF5">
        <w:rPr>
          <w:rFonts w:cstheme="minorHAnsi"/>
          <w:b/>
          <w:sz w:val="20"/>
          <w:szCs w:val="20"/>
        </w:rPr>
        <w:t>–</w:t>
      </w:r>
      <w:r w:rsidR="00230207" w:rsidRPr="00542BF5">
        <w:rPr>
          <w:rFonts w:cstheme="minorHAnsi"/>
          <w:b/>
          <w:sz w:val="20"/>
          <w:szCs w:val="20"/>
        </w:rPr>
        <w:t xml:space="preserve"> </w:t>
      </w:r>
      <w:r w:rsidR="00EA3E11">
        <w:rPr>
          <w:rFonts w:cstheme="minorHAnsi"/>
          <w:b/>
          <w:i/>
          <w:iCs/>
          <w:sz w:val="18"/>
          <w:szCs w:val="18"/>
        </w:rPr>
        <w:t>Underwhelming N</w:t>
      </w:r>
      <w:r w:rsidR="005A096D">
        <w:rPr>
          <w:rFonts w:cstheme="minorHAnsi"/>
          <w:b/>
          <w:i/>
          <w:iCs/>
          <w:sz w:val="18"/>
          <w:szCs w:val="18"/>
        </w:rPr>
        <w:t xml:space="preserve">igerian Stock </w:t>
      </w:r>
      <w:r w:rsidR="000E718D" w:rsidRPr="00542BF5">
        <w:rPr>
          <w:rFonts w:cstheme="minorHAnsi"/>
          <w:b/>
          <w:i/>
          <w:iCs/>
          <w:sz w:val="18"/>
          <w:szCs w:val="18"/>
        </w:rPr>
        <w:t>marke</w:t>
      </w:r>
      <w:r w:rsidR="005A096D">
        <w:rPr>
          <w:rFonts w:cstheme="minorHAnsi"/>
          <w:b/>
          <w:i/>
          <w:iCs/>
          <w:sz w:val="18"/>
          <w:szCs w:val="18"/>
        </w:rPr>
        <w:t>t’</w:t>
      </w:r>
      <w:r w:rsidR="00E96321" w:rsidRPr="00542BF5">
        <w:rPr>
          <w:rFonts w:cstheme="minorHAnsi"/>
          <w:b/>
          <w:i/>
          <w:iCs/>
          <w:sz w:val="18"/>
          <w:szCs w:val="18"/>
        </w:rPr>
        <w:t xml:space="preserve">s performance </w:t>
      </w:r>
      <w:r w:rsidR="000E718D" w:rsidRPr="00542BF5">
        <w:rPr>
          <w:rFonts w:cstheme="minorHAnsi"/>
          <w:b/>
          <w:i/>
          <w:iCs/>
          <w:sz w:val="18"/>
          <w:szCs w:val="18"/>
        </w:rPr>
        <w:t xml:space="preserve">amid </w:t>
      </w:r>
      <w:r w:rsidR="004713C8" w:rsidRPr="00542BF5">
        <w:rPr>
          <w:rFonts w:cstheme="minorHAnsi"/>
          <w:b/>
          <w:i/>
          <w:iCs/>
          <w:sz w:val="18"/>
          <w:szCs w:val="18"/>
        </w:rPr>
        <w:t xml:space="preserve">higher </w:t>
      </w:r>
      <w:proofErr w:type="gramStart"/>
      <w:r w:rsidR="004713C8" w:rsidRPr="00542BF5">
        <w:rPr>
          <w:rFonts w:cstheme="minorHAnsi"/>
          <w:b/>
          <w:i/>
          <w:iCs/>
          <w:sz w:val="18"/>
          <w:szCs w:val="18"/>
        </w:rPr>
        <w:t>inflation</w:t>
      </w:r>
      <w:proofErr w:type="gramEnd"/>
    </w:p>
    <w:p w14:paraId="612BAF34" w14:textId="1DA80FDD" w:rsidR="004713C8" w:rsidRPr="00542BF5" w:rsidRDefault="00AD5239" w:rsidP="001B2A60">
      <w:pPr>
        <w:pBdr>
          <w:bottom w:val="single" w:sz="4" w:space="1" w:color="595959" w:themeColor="text1" w:themeTint="A6"/>
        </w:pBdr>
        <w:spacing w:line="360" w:lineRule="auto"/>
        <w:jc w:val="both"/>
        <w:rPr>
          <w:sz w:val="18"/>
          <w:szCs w:val="18"/>
        </w:rPr>
      </w:pPr>
      <w:r w:rsidRPr="00AD5239">
        <w:rPr>
          <w:sz w:val="18"/>
          <w:szCs w:val="18"/>
        </w:rPr>
        <w:t>The Nigerian stock market fell by N1.010 trillion in April 2023, despite strong 2022 fiscal year corporate profitability and dividend payouts to shareholders by listed companies. Notwithstanding the stock market's 2.25% gain in the first four months of 2023, inflationary pressures, currency scarcity, and other macroeconomic challenges have continued to erode investors' participation in low-priced fundamental stocks listed on the Exchange. In particular, the entire market capitalization finished April 2023 at N28.534 trillion, down from N29.544 trillion. In addition, the NGX All-Share Index fell 3.37 percent to 52,403.51 basis points from 54,232.34 basis points when it concluded trading in March 2023</w:t>
      </w:r>
      <w:r w:rsidR="002C1E5A" w:rsidRPr="00542BF5">
        <w:rPr>
          <w:sz w:val="18"/>
          <w:szCs w:val="18"/>
        </w:rPr>
        <w:t>.</w:t>
      </w:r>
    </w:p>
    <w:p w14:paraId="7D37B3A5" w14:textId="7046B9F7" w:rsidR="00E226EE" w:rsidRPr="006701AF" w:rsidRDefault="00864957" w:rsidP="001B2A60">
      <w:pPr>
        <w:pBdr>
          <w:bottom w:val="single" w:sz="4" w:space="1" w:color="595959" w:themeColor="text1" w:themeTint="A6"/>
        </w:pBdr>
        <w:spacing w:line="360" w:lineRule="auto"/>
        <w:jc w:val="both"/>
        <w:rPr>
          <w:rFonts w:cstheme="minorHAnsi"/>
          <w:b/>
          <w:bCs/>
          <w:sz w:val="18"/>
          <w:szCs w:val="18"/>
        </w:rPr>
      </w:pPr>
      <w:r>
        <w:rPr>
          <w:noProof/>
        </w:rPr>
        <w:drawing>
          <wp:anchor distT="0" distB="0" distL="114300" distR="114300" simplePos="0" relativeHeight="251750405" behindDoc="0" locked="0" layoutInCell="1" allowOverlap="1" wp14:anchorId="288343CF" wp14:editId="4924F15C">
            <wp:simplePos x="0" y="0"/>
            <wp:positionH relativeFrom="column">
              <wp:posOffset>-34290</wp:posOffset>
            </wp:positionH>
            <wp:positionV relativeFrom="paragraph">
              <wp:posOffset>263525</wp:posOffset>
            </wp:positionV>
            <wp:extent cx="6400800" cy="2354580"/>
            <wp:effectExtent l="0" t="0" r="0" b="7620"/>
            <wp:wrapSquare wrapText="bothSides"/>
            <wp:docPr id="175704611" name="Chart 1">
              <a:extLst xmlns:a="http://schemas.openxmlformats.org/drawingml/2006/main">
                <a:ext uri="{FF2B5EF4-FFF2-40B4-BE49-F238E27FC236}">
                  <a16:creationId xmlns:a16="http://schemas.microsoft.com/office/drawing/2014/main" id="{A5879C59-AA41-4081-9C39-A959794ED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055BAF" w:rsidRPr="006701AF">
        <w:rPr>
          <w:rFonts w:cstheme="minorHAnsi"/>
          <w:noProof/>
          <w:sz w:val="18"/>
          <w:szCs w:val="18"/>
        </w:rPr>
        <mc:AlternateContent>
          <mc:Choice Requires="wps">
            <w:drawing>
              <wp:anchor distT="0" distB="0" distL="114300" distR="114300" simplePos="0" relativeHeight="251728901" behindDoc="0" locked="0" layoutInCell="1" allowOverlap="1" wp14:anchorId="64E617E0" wp14:editId="27F19E2D">
                <wp:simplePos x="0" y="0"/>
                <wp:positionH relativeFrom="margin">
                  <wp:posOffset>91440</wp:posOffset>
                </wp:positionH>
                <wp:positionV relativeFrom="paragraph">
                  <wp:posOffset>195580</wp:posOffset>
                </wp:positionV>
                <wp:extent cx="6035040" cy="11430"/>
                <wp:effectExtent l="0" t="0" r="22860" b="26670"/>
                <wp:wrapSquare wrapText="bothSides"/>
                <wp:docPr id="15" name="Straight Connector 15"/>
                <wp:cNvGraphicFramePr/>
                <a:graphic xmlns:a="http://schemas.openxmlformats.org/drawingml/2006/main">
                  <a:graphicData uri="http://schemas.microsoft.com/office/word/2010/wordprocessingShape">
                    <wps:wsp>
                      <wps:cNvCnPr/>
                      <wps:spPr>
                        <a:xfrm>
                          <a:off x="0" y="0"/>
                          <a:ext cx="6035040" cy="1143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7EDB42" id="Straight Connector 15" o:spid="_x0000_s1026" style="position:absolute;z-index:25172890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2pt,15.4pt" to="482.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" strokecolor="#0d0d0d [3069]" strokeweight=".5pt">
                <v:stroke joinstyle="miter"/>
                <w10:wrap type="square" anchorx="margin"/>
              </v:line>
            </w:pict>
          </mc:Fallback>
        </mc:AlternateContent>
      </w:r>
      <w:r w:rsidR="00E226EE" w:rsidRPr="006701AF">
        <w:rPr>
          <w:rFonts w:cstheme="minorHAnsi"/>
          <w:b/>
          <w:bCs/>
          <w:sz w:val="18"/>
          <w:szCs w:val="18"/>
        </w:rPr>
        <w:t xml:space="preserve">Chart </w:t>
      </w:r>
      <w:r w:rsidR="00AC2791">
        <w:rPr>
          <w:rFonts w:cstheme="minorHAnsi"/>
          <w:b/>
          <w:bCs/>
          <w:sz w:val="18"/>
          <w:szCs w:val="18"/>
        </w:rPr>
        <w:t>6</w:t>
      </w:r>
      <w:r w:rsidR="00E226EE" w:rsidRPr="006701AF">
        <w:rPr>
          <w:rFonts w:cstheme="minorHAnsi"/>
          <w:b/>
          <w:bCs/>
          <w:sz w:val="18"/>
          <w:szCs w:val="18"/>
        </w:rPr>
        <w:t xml:space="preserve"> – </w:t>
      </w:r>
      <w:r w:rsidR="000C0AEF" w:rsidRPr="006701AF">
        <w:rPr>
          <w:rFonts w:cstheme="minorHAnsi"/>
          <w:b/>
          <w:bCs/>
          <w:sz w:val="18"/>
          <w:szCs w:val="18"/>
        </w:rPr>
        <w:t>NGX</w:t>
      </w:r>
      <w:r w:rsidR="00E226EE" w:rsidRPr="006701AF">
        <w:rPr>
          <w:rFonts w:cstheme="minorHAnsi"/>
          <w:b/>
          <w:bCs/>
          <w:sz w:val="18"/>
          <w:szCs w:val="18"/>
        </w:rPr>
        <w:t xml:space="preserve"> ASI YTD Performance</w:t>
      </w:r>
    </w:p>
    <w:p w14:paraId="10E394A6" w14:textId="03D7B041" w:rsidR="00720391" w:rsidRDefault="00E7514C" w:rsidP="0052100D">
      <w:pPr>
        <w:pBdr>
          <w:top w:val="single" w:sz="4" w:space="1" w:color="auto"/>
        </w:pBdr>
        <w:spacing w:line="360" w:lineRule="auto"/>
        <w:jc w:val="both"/>
        <w:rPr>
          <w:rFonts w:cstheme="minorHAnsi"/>
          <w:b/>
          <w:bCs/>
          <w:sz w:val="18"/>
          <w:szCs w:val="18"/>
        </w:rPr>
      </w:pPr>
      <w:r w:rsidRPr="006701AF">
        <w:rPr>
          <w:rFonts w:cstheme="minorHAnsi"/>
          <w:b/>
          <w:bCs/>
          <w:sz w:val="18"/>
          <w:szCs w:val="18"/>
        </w:rPr>
        <w:t>S</w:t>
      </w:r>
      <w:r w:rsidR="00E226EE" w:rsidRPr="006701AF">
        <w:rPr>
          <w:rFonts w:cstheme="minorHAnsi"/>
          <w:b/>
          <w:bCs/>
          <w:sz w:val="18"/>
          <w:szCs w:val="18"/>
        </w:rPr>
        <w:t>ource: NSE, AIICO Capital</w:t>
      </w:r>
    </w:p>
    <w:p w14:paraId="5BE3D8DE" w14:textId="67277880" w:rsidR="00124554" w:rsidRDefault="00124554" w:rsidP="0052100D">
      <w:pPr>
        <w:pBdr>
          <w:top w:val="single" w:sz="4" w:space="1" w:color="auto"/>
        </w:pBdr>
        <w:spacing w:line="360" w:lineRule="auto"/>
        <w:jc w:val="both"/>
        <w:rPr>
          <w:rFonts w:cstheme="minorHAnsi"/>
          <w:b/>
          <w:bCs/>
          <w:sz w:val="18"/>
          <w:szCs w:val="18"/>
        </w:rPr>
      </w:pPr>
    </w:p>
    <w:p w14:paraId="74CFD397" w14:textId="5BC613CD" w:rsidR="007121EB" w:rsidRPr="006701AF" w:rsidRDefault="0085748E" w:rsidP="000F35DD">
      <w:pPr>
        <w:pBdr>
          <w:bottom w:val="single" w:sz="4" w:space="1" w:color="auto"/>
        </w:pBdr>
        <w:spacing w:line="360" w:lineRule="auto"/>
        <w:jc w:val="both"/>
        <w:rPr>
          <w:rFonts w:cstheme="minorHAnsi"/>
          <w:b/>
          <w:sz w:val="18"/>
          <w:szCs w:val="18"/>
          <w:u w:val="single"/>
        </w:rPr>
      </w:pPr>
      <w:r>
        <w:rPr>
          <w:rFonts w:cstheme="minorHAnsi"/>
          <w:b/>
          <w:sz w:val="18"/>
          <w:szCs w:val="18"/>
          <w:u w:val="single"/>
        </w:rPr>
        <w:t xml:space="preserve">Mixed </w:t>
      </w:r>
      <w:r w:rsidR="0074737E" w:rsidRPr="006701AF">
        <w:rPr>
          <w:rFonts w:cstheme="minorHAnsi"/>
          <w:b/>
          <w:sz w:val="18"/>
          <w:szCs w:val="18"/>
          <w:u w:val="single"/>
        </w:rPr>
        <w:t>performance Across Sectors</w:t>
      </w:r>
    </w:p>
    <w:p w14:paraId="5F08C4CD" w14:textId="77777777" w:rsidR="0067243A" w:rsidRDefault="0067243A" w:rsidP="000F35DD">
      <w:pPr>
        <w:pBdr>
          <w:bottom w:val="single" w:sz="4" w:space="1" w:color="auto"/>
        </w:pBdr>
        <w:spacing w:line="360" w:lineRule="auto"/>
        <w:jc w:val="both"/>
        <w:rPr>
          <w:sz w:val="18"/>
          <w:szCs w:val="18"/>
        </w:rPr>
      </w:pPr>
      <w:r w:rsidRPr="0067243A">
        <w:rPr>
          <w:sz w:val="18"/>
          <w:szCs w:val="18"/>
        </w:rPr>
        <w:t>The NGX banking Index fell by 3.37% to 438.07 basis points as of April 28, 2023, according to sectoral performance. The NGX Insurance Index rose by 3.87% to 184.38 basis points, while the NGX Oil/Gas Index fell by 1.68% to 502.24 basis points. Furthermore, the NGX Consumer Goods Index increased by 4.75% to 736.14 basis points in April 2023, making it the highest gainer among other indices, while the NGX Industrial Goods Index decreased by 0.38 percent.</w:t>
      </w:r>
    </w:p>
    <w:p w14:paraId="5D492F1E" w14:textId="77777777" w:rsidR="00124554" w:rsidRDefault="00124554" w:rsidP="000F35DD">
      <w:pPr>
        <w:pBdr>
          <w:bottom w:val="single" w:sz="4" w:space="1" w:color="auto"/>
        </w:pBdr>
        <w:spacing w:line="360" w:lineRule="auto"/>
        <w:jc w:val="both"/>
        <w:rPr>
          <w:sz w:val="18"/>
          <w:szCs w:val="18"/>
        </w:rPr>
      </w:pPr>
    </w:p>
    <w:p w14:paraId="13736122" w14:textId="77777777" w:rsidR="00124554" w:rsidRDefault="00124554" w:rsidP="000F35DD">
      <w:pPr>
        <w:pBdr>
          <w:bottom w:val="single" w:sz="4" w:space="1" w:color="auto"/>
        </w:pBdr>
        <w:spacing w:line="360" w:lineRule="auto"/>
        <w:jc w:val="both"/>
        <w:rPr>
          <w:sz w:val="18"/>
          <w:szCs w:val="18"/>
        </w:rPr>
      </w:pPr>
    </w:p>
    <w:p w14:paraId="69F927AA" w14:textId="77777777" w:rsidR="00124554" w:rsidRDefault="00124554" w:rsidP="000F35DD">
      <w:pPr>
        <w:pBdr>
          <w:bottom w:val="single" w:sz="4" w:space="1" w:color="auto"/>
        </w:pBdr>
        <w:spacing w:line="360" w:lineRule="auto"/>
        <w:jc w:val="both"/>
        <w:rPr>
          <w:sz w:val="18"/>
          <w:szCs w:val="18"/>
        </w:rPr>
      </w:pPr>
    </w:p>
    <w:p w14:paraId="6CC8CBD5" w14:textId="77777777" w:rsidR="00124554" w:rsidRDefault="00124554" w:rsidP="000F35DD">
      <w:pPr>
        <w:pBdr>
          <w:bottom w:val="single" w:sz="4" w:space="1" w:color="auto"/>
        </w:pBdr>
        <w:spacing w:line="360" w:lineRule="auto"/>
        <w:jc w:val="both"/>
        <w:rPr>
          <w:sz w:val="18"/>
          <w:szCs w:val="18"/>
        </w:rPr>
      </w:pPr>
    </w:p>
    <w:p w14:paraId="08C5540D" w14:textId="5D6AA354" w:rsidR="000F35DD" w:rsidRPr="006C4331" w:rsidRDefault="00A75B4A" w:rsidP="000F35DD">
      <w:pPr>
        <w:pBdr>
          <w:bottom w:val="single" w:sz="4" w:space="1" w:color="auto"/>
        </w:pBdr>
        <w:spacing w:line="360" w:lineRule="auto"/>
        <w:jc w:val="both"/>
        <w:rPr>
          <w:b/>
          <w:bCs/>
          <w:sz w:val="18"/>
          <w:szCs w:val="18"/>
        </w:rPr>
      </w:pPr>
      <w:r w:rsidRPr="006C4331">
        <w:rPr>
          <w:b/>
          <w:bCs/>
          <w:sz w:val="18"/>
          <w:szCs w:val="18"/>
        </w:rPr>
        <w:lastRenderedPageBreak/>
        <w:t>Table 3</w:t>
      </w:r>
      <w:r w:rsidR="000F35DD" w:rsidRPr="006C4331">
        <w:rPr>
          <w:b/>
          <w:bCs/>
          <w:sz w:val="18"/>
          <w:szCs w:val="18"/>
        </w:rPr>
        <w:t xml:space="preserve"> – Sector Performance</w:t>
      </w:r>
    </w:p>
    <w:p w14:paraId="103C7107" w14:textId="73E9217A" w:rsidR="00114FF0" w:rsidRPr="00B848D0" w:rsidRDefault="00124554" w:rsidP="00C6413D">
      <w:pPr>
        <w:spacing w:line="360" w:lineRule="auto"/>
        <w:rPr>
          <w:rFonts w:cstheme="minorHAnsi"/>
          <w:b/>
          <w:bCs/>
          <w:color w:val="FF0000"/>
          <w:sz w:val="18"/>
          <w:szCs w:val="18"/>
        </w:rPr>
      </w:pPr>
      <w:r>
        <w:rPr>
          <w:rFonts w:cstheme="minorHAnsi"/>
          <w:b/>
          <w:bCs/>
          <w:noProof/>
          <w:color w:val="FF0000"/>
          <w:sz w:val="18"/>
          <w:szCs w:val="18"/>
        </w:rPr>
        <w:drawing>
          <wp:inline distT="0" distB="0" distL="0" distR="0" wp14:anchorId="39335D84" wp14:editId="593F7E9D">
            <wp:extent cx="3889375" cy="1383665"/>
            <wp:effectExtent l="0" t="0" r="0" b="6985"/>
            <wp:docPr id="1435742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9375" cy="1383665"/>
                    </a:xfrm>
                    <a:prstGeom prst="rect">
                      <a:avLst/>
                    </a:prstGeom>
                    <a:noFill/>
                  </pic:spPr>
                </pic:pic>
              </a:graphicData>
            </a:graphic>
          </wp:inline>
        </w:drawing>
      </w:r>
    </w:p>
    <w:p w14:paraId="6E613282" w14:textId="281EF785" w:rsidR="0009755D" w:rsidRPr="0009755D" w:rsidRDefault="000F35DD" w:rsidP="0009755D">
      <w:pPr>
        <w:pBdr>
          <w:top w:val="single" w:sz="4" w:space="1" w:color="auto"/>
        </w:pBdr>
        <w:spacing w:line="360" w:lineRule="auto"/>
        <w:jc w:val="both"/>
        <w:rPr>
          <w:rFonts w:cstheme="minorHAnsi"/>
          <w:b/>
          <w:bCs/>
          <w:sz w:val="18"/>
          <w:szCs w:val="18"/>
        </w:rPr>
      </w:pPr>
      <w:r w:rsidRPr="006701AF">
        <w:rPr>
          <w:rFonts w:cstheme="minorHAnsi"/>
          <w:b/>
          <w:bCs/>
          <w:sz w:val="18"/>
          <w:szCs w:val="18"/>
        </w:rPr>
        <w:t>Source: NSE, AIICO Capital</w:t>
      </w:r>
    </w:p>
    <w:p w14:paraId="048B5B3F" w14:textId="2BEA3968" w:rsidR="000F35DD" w:rsidRPr="00AA7538" w:rsidRDefault="00F15D27" w:rsidP="000F35DD">
      <w:pPr>
        <w:pBdr>
          <w:bottom w:val="single" w:sz="4" w:space="1" w:color="auto"/>
        </w:pBdr>
        <w:spacing w:line="360" w:lineRule="auto"/>
        <w:jc w:val="both"/>
        <w:rPr>
          <w:rFonts w:cstheme="minorHAnsi"/>
          <w:sz w:val="18"/>
          <w:szCs w:val="18"/>
        </w:rPr>
      </w:pPr>
      <w:r>
        <w:rPr>
          <w:noProof/>
        </w:rPr>
        <w:drawing>
          <wp:anchor distT="0" distB="0" distL="114300" distR="114300" simplePos="0" relativeHeight="251744261" behindDoc="0" locked="0" layoutInCell="1" allowOverlap="1" wp14:anchorId="1488462F" wp14:editId="43302974">
            <wp:simplePos x="0" y="0"/>
            <wp:positionH relativeFrom="column">
              <wp:posOffset>3169920</wp:posOffset>
            </wp:positionH>
            <wp:positionV relativeFrom="paragraph">
              <wp:posOffset>285115</wp:posOffset>
            </wp:positionV>
            <wp:extent cx="3455670" cy="2522220"/>
            <wp:effectExtent l="0" t="0" r="11430" b="11430"/>
            <wp:wrapSquare wrapText="bothSides"/>
            <wp:docPr id="4" name="Chart 4">
              <a:extLst xmlns:a="http://schemas.openxmlformats.org/drawingml/2006/main">
                <a:ext uri="{FF2B5EF4-FFF2-40B4-BE49-F238E27FC236}">
                  <a16:creationId xmlns:a16="http://schemas.microsoft.com/office/drawing/2014/main" id="{3DD013BA-002F-D3EA-ECEB-16C4E60B5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5" behindDoc="0" locked="0" layoutInCell="1" allowOverlap="1" wp14:anchorId="53A9A73D" wp14:editId="29B32A6C">
            <wp:simplePos x="0" y="0"/>
            <wp:positionH relativeFrom="margin">
              <wp:posOffset>-22860</wp:posOffset>
            </wp:positionH>
            <wp:positionV relativeFrom="paragraph">
              <wp:posOffset>277495</wp:posOffset>
            </wp:positionV>
            <wp:extent cx="3169920" cy="2533650"/>
            <wp:effectExtent l="0" t="0" r="11430" b="0"/>
            <wp:wrapSquare wrapText="bothSides"/>
            <wp:docPr id="5" name="Chart 5">
              <a:extLst xmlns:a="http://schemas.openxmlformats.org/drawingml/2006/main">
                <a:ext uri="{FF2B5EF4-FFF2-40B4-BE49-F238E27FC236}">
                  <a16:creationId xmlns:a16="http://schemas.microsoft.com/office/drawing/2014/main" id="{DC0B81C2-4543-A801-F9D3-022BE8408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0F35DD" w:rsidRPr="006C4331">
        <w:rPr>
          <w:b/>
          <w:bCs/>
          <w:sz w:val="18"/>
          <w:szCs w:val="18"/>
        </w:rPr>
        <w:t>Ch</w:t>
      </w:r>
      <w:r w:rsidR="000F35DD" w:rsidRPr="00AA7538">
        <w:rPr>
          <w:b/>
          <w:bCs/>
          <w:sz w:val="18"/>
          <w:szCs w:val="18"/>
        </w:rPr>
        <w:t xml:space="preserve">art </w:t>
      </w:r>
      <w:r w:rsidR="00AC2791">
        <w:rPr>
          <w:b/>
          <w:bCs/>
          <w:sz w:val="18"/>
          <w:szCs w:val="18"/>
        </w:rPr>
        <w:t>7</w:t>
      </w:r>
      <w:r w:rsidR="000F35DD" w:rsidRPr="00AA7538">
        <w:rPr>
          <w:b/>
          <w:bCs/>
          <w:sz w:val="18"/>
          <w:szCs w:val="18"/>
        </w:rPr>
        <w:t xml:space="preserve"> – Top 10 Gainers and Top 10 Losers in </w:t>
      </w:r>
      <w:r w:rsidR="00AA7538">
        <w:rPr>
          <w:b/>
          <w:bCs/>
          <w:sz w:val="18"/>
          <w:szCs w:val="18"/>
        </w:rPr>
        <w:t>Marc</w:t>
      </w:r>
      <w:r>
        <w:rPr>
          <w:b/>
          <w:bCs/>
          <w:sz w:val="18"/>
          <w:szCs w:val="18"/>
        </w:rPr>
        <w:t>h 2023</w:t>
      </w:r>
    </w:p>
    <w:p w14:paraId="12C9D776" w14:textId="21DB8D14" w:rsidR="000F35DD" w:rsidRDefault="000F35DD" w:rsidP="000F35DD">
      <w:pPr>
        <w:pBdr>
          <w:top w:val="single" w:sz="4" w:space="1" w:color="auto"/>
        </w:pBdr>
        <w:spacing w:line="360" w:lineRule="auto"/>
        <w:jc w:val="both"/>
        <w:rPr>
          <w:rFonts w:cstheme="minorHAnsi"/>
          <w:b/>
          <w:bCs/>
          <w:sz w:val="18"/>
          <w:szCs w:val="18"/>
        </w:rPr>
      </w:pPr>
      <w:r w:rsidRPr="00AA7538">
        <w:rPr>
          <w:rFonts w:cstheme="minorHAnsi"/>
          <w:b/>
          <w:bCs/>
          <w:sz w:val="18"/>
          <w:szCs w:val="18"/>
        </w:rPr>
        <w:t>Source: NSE, AIICO Capital</w:t>
      </w:r>
    </w:p>
    <w:p w14:paraId="7D9BE480" w14:textId="389632C4" w:rsidR="00DB60BF" w:rsidRPr="00911677" w:rsidRDefault="00117BFC" w:rsidP="00B8137D">
      <w:pPr>
        <w:spacing w:line="360" w:lineRule="auto"/>
        <w:jc w:val="both"/>
        <w:rPr>
          <w:rFonts w:cstheme="minorHAnsi"/>
          <w:b/>
          <w:sz w:val="18"/>
          <w:szCs w:val="18"/>
          <w:highlight w:val="yellow"/>
        </w:rPr>
      </w:pPr>
      <w:r w:rsidRPr="00911677">
        <w:rPr>
          <w:rFonts w:cstheme="minorHAnsi"/>
          <w:b/>
          <w:sz w:val="18"/>
          <w:szCs w:val="18"/>
          <w:u w:val="single"/>
        </w:rPr>
        <w:t>Outlook</w:t>
      </w:r>
      <w:r w:rsidR="00911677" w:rsidRPr="00911677">
        <w:rPr>
          <w:rFonts w:cstheme="minorHAnsi"/>
          <w:b/>
          <w:sz w:val="18"/>
          <w:szCs w:val="18"/>
          <w:u w:val="single"/>
        </w:rPr>
        <w:t>:</w:t>
      </w:r>
      <w:r w:rsidR="00911677">
        <w:rPr>
          <w:rFonts w:cstheme="minorHAnsi"/>
          <w:b/>
          <w:sz w:val="18"/>
          <w:szCs w:val="18"/>
        </w:rPr>
        <w:t xml:space="preserve"> </w:t>
      </w:r>
      <w:r w:rsidR="008D7F60">
        <w:rPr>
          <w:color w:val="000000" w:themeColor="text1"/>
          <w:sz w:val="18"/>
          <w:szCs w:val="18"/>
        </w:rPr>
        <w:t xml:space="preserve">Most investors are expected </w:t>
      </w:r>
      <w:r w:rsidR="00911677" w:rsidRPr="00911677">
        <w:rPr>
          <w:color w:val="000000" w:themeColor="text1"/>
          <w:sz w:val="18"/>
          <w:szCs w:val="18"/>
        </w:rPr>
        <w:t xml:space="preserve">to </w:t>
      </w:r>
      <w:r w:rsidR="00674E9A" w:rsidRPr="00911677">
        <w:rPr>
          <w:color w:val="000000" w:themeColor="text1"/>
          <w:sz w:val="18"/>
          <w:szCs w:val="18"/>
        </w:rPr>
        <w:t xml:space="preserve">keep their bullish outlook on bellwether </w:t>
      </w:r>
      <w:r w:rsidR="008D7F60" w:rsidRPr="00911677">
        <w:rPr>
          <w:color w:val="000000" w:themeColor="text1"/>
          <w:sz w:val="18"/>
          <w:szCs w:val="18"/>
        </w:rPr>
        <w:t>equities</w:t>
      </w:r>
      <w:r w:rsidR="007A6FC3">
        <w:rPr>
          <w:color w:val="000000" w:themeColor="text1"/>
          <w:sz w:val="18"/>
          <w:szCs w:val="18"/>
        </w:rPr>
        <w:t xml:space="preserve"> and maintain </w:t>
      </w:r>
      <w:r w:rsidR="006244D5">
        <w:rPr>
          <w:color w:val="000000" w:themeColor="text1"/>
          <w:sz w:val="18"/>
          <w:szCs w:val="18"/>
        </w:rPr>
        <w:t xml:space="preserve">prudence in their </w:t>
      </w:r>
      <w:r w:rsidR="00596ABB">
        <w:rPr>
          <w:color w:val="000000" w:themeColor="text1"/>
          <w:sz w:val="18"/>
          <w:szCs w:val="18"/>
        </w:rPr>
        <w:t xml:space="preserve">other </w:t>
      </w:r>
      <w:r w:rsidR="006244D5">
        <w:rPr>
          <w:color w:val="000000" w:themeColor="text1"/>
          <w:sz w:val="18"/>
          <w:szCs w:val="18"/>
        </w:rPr>
        <w:t>stock picks</w:t>
      </w:r>
      <w:r w:rsidR="007A6FC3">
        <w:rPr>
          <w:color w:val="000000" w:themeColor="text1"/>
          <w:sz w:val="18"/>
          <w:szCs w:val="18"/>
        </w:rPr>
        <w:t>,</w:t>
      </w:r>
      <w:r w:rsidR="006244D5">
        <w:rPr>
          <w:color w:val="000000" w:themeColor="text1"/>
          <w:sz w:val="18"/>
          <w:szCs w:val="18"/>
        </w:rPr>
        <w:t xml:space="preserve"> even as</w:t>
      </w:r>
      <w:r w:rsidR="006244D5" w:rsidRPr="006244D5">
        <w:rPr>
          <w:color w:val="000000" w:themeColor="text1"/>
          <w:sz w:val="18"/>
          <w:szCs w:val="18"/>
        </w:rPr>
        <w:t xml:space="preserve"> </w:t>
      </w:r>
      <w:r w:rsidR="00911677" w:rsidRPr="00911677">
        <w:rPr>
          <w:color w:val="000000" w:themeColor="text1"/>
          <w:sz w:val="18"/>
          <w:szCs w:val="18"/>
        </w:rPr>
        <w:t xml:space="preserve">the </w:t>
      </w:r>
      <w:r w:rsidR="006244D5">
        <w:rPr>
          <w:color w:val="000000" w:themeColor="text1"/>
          <w:sz w:val="18"/>
          <w:szCs w:val="18"/>
        </w:rPr>
        <w:t xml:space="preserve">salient </w:t>
      </w:r>
      <w:r w:rsidR="00911677" w:rsidRPr="00911677">
        <w:rPr>
          <w:color w:val="000000" w:themeColor="text1"/>
          <w:sz w:val="18"/>
          <w:szCs w:val="18"/>
        </w:rPr>
        <w:t>uncertaint</w:t>
      </w:r>
      <w:r w:rsidR="006244D5">
        <w:rPr>
          <w:color w:val="000000" w:themeColor="text1"/>
          <w:sz w:val="18"/>
          <w:szCs w:val="18"/>
        </w:rPr>
        <w:t>ies</w:t>
      </w:r>
      <w:r w:rsidR="00911677" w:rsidRPr="00911677">
        <w:rPr>
          <w:color w:val="000000" w:themeColor="text1"/>
          <w:sz w:val="18"/>
          <w:szCs w:val="18"/>
        </w:rPr>
        <w:t xml:space="preserve"> </w:t>
      </w:r>
      <w:r w:rsidR="008D7F60">
        <w:rPr>
          <w:color w:val="000000" w:themeColor="text1"/>
          <w:sz w:val="18"/>
          <w:szCs w:val="18"/>
        </w:rPr>
        <w:t xml:space="preserve">around the </w:t>
      </w:r>
      <w:r w:rsidR="007A6FC3">
        <w:rPr>
          <w:color w:val="000000" w:themeColor="text1"/>
          <w:sz w:val="18"/>
          <w:szCs w:val="18"/>
        </w:rPr>
        <w:t>transition to a new government continues</w:t>
      </w:r>
      <w:r w:rsidR="007E5D65">
        <w:rPr>
          <w:color w:val="000000" w:themeColor="text1"/>
          <w:sz w:val="18"/>
          <w:szCs w:val="18"/>
        </w:rPr>
        <w:t xml:space="preserve">. </w:t>
      </w:r>
    </w:p>
    <w:sectPr w:rsidR="00DB60BF" w:rsidRPr="00911677" w:rsidSect="00801C67">
      <w:headerReference w:type="default" r:id="rId17"/>
      <w:footerReference w:type="default" r:id="rId18"/>
      <w:headerReference w:type="first" r:id="rId19"/>
      <w:footerReference w:type="first" r:id="rId20"/>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DEC8C" w14:textId="77777777" w:rsidR="005A3C7C" w:rsidRDefault="005A3C7C" w:rsidP="0097232A">
      <w:pPr>
        <w:spacing w:after="0" w:line="240" w:lineRule="auto"/>
      </w:pPr>
      <w:r>
        <w:separator/>
      </w:r>
    </w:p>
  </w:endnote>
  <w:endnote w:type="continuationSeparator" w:id="0">
    <w:p w14:paraId="3BFDD7F0" w14:textId="77777777" w:rsidR="005A3C7C" w:rsidRDefault="005A3C7C" w:rsidP="0097232A">
      <w:pPr>
        <w:spacing w:after="0" w:line="240" w:lineRule="auto"/>
      </w:pPr>
      <w:r>
        <w:continuationSeparator/>
      </w:r>
    </w:p>
  </w:endnote>
  <w:endnote w:type="continuationNotice" w:id="1">
    <w:p w14:paraId="24714A62" w14:textId="77777777" w:rsidR="005A3C7C" w:rsidRDefault="005A3C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roy-Bold">
    <w:altName w:val="Calibri"/>
    <w:charset w:val="00"/>
    <w:family w:val="auto"/>
    <w:pitch w:val="variable"/>
    <w:sig w:usb0="00000207" w:usb1="00000000"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Gilroy-Heavy">
    <w:altName w:val="Calibri"/>
    <w:charset w:val="00"/>
    <w:family w:val="auto"/>
    <w:pitch w:val="variable"/>
    <w:sig w:usb0="000002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D967" w14:textId="5E678F48" w:rsidR="00380B91" w:rsidRDefault="00515007">
    <w:pPr>
      <w:pStyle w:val="Footer"/>
    </w:pPr>
    <w:r>
      <w:rPr>
        <w:noProof/>
      </w:rPr>
      <w:drawing>
        <wp:anchor distT="0" distB="0" distL="114300" distR="114300" simplePos="0" relativeHeight="251658241" behindDoc="1" locked="0" layoutInCell="1" allowOverlap="1" wp14:anchorId="45F0A229" wp14:editId="372E5A34">
          <wp:simplePos x="0" y="0"/>
          <wp:positionH relativeFrom="column">
            <wp:posOffset>-922020</wp:posOffset>
          </wp:positionH>
          <wp:positionV relativeFrom="paragraph">
            <wp:posOffset>-263525</wp:posOffset>
          </wp:positionV>
          <wp:extent cx="7757520" cy="891540"/>
          <wp:effectExtent l="0" t="0" r="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829745" cy="89984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7DEE7C1" w14:paraId="1A874D41" w14:textId="77777777" w:rsidTr="07DEE7C1">
      <w:tc>
        <w:tcPr>
          <w:tcW w:w="3120" w:type="dxa"/>
        </w:tcPr>
        <w:p w14:paraId="4A31ED06" w14:textId="14AE6C89" w:rsidR="07DEE7C1" w:rsidRDefault="07DEE7C1" w:rsidP="07DEE7C1">
          <w:pPr>
            <w:pStyle w:val="Header"/>
            <w:ind w:left="-115"/>
          </w:pPr>
        </w:p>
      </w:tc>
      <w:tc>
        <w:tcPr>
          <w:tcW w:w="3120" w:type="dxa"/>
        </w:tcPr>
        <w:p w14:paraId="42C4D61E" w14:textId="1E38D609" w:rsidR="07DEE7C1" w:rsidRDefault="07DEE7C1" w:rsidP="07DEE7C1">
          <w:pPr>
            <w:pStyle w:val="Header"/>
            <w:jc w:val="center"/>
          </w:pPr>
        </w:p>
      </w:tc>
      <w:tc>
        <w:tcPr>
          <w:tcW w:w="3120" w:type="dxa"/>
        </w:tcPr>
        <w:p w14:paraId="7E8C1F4B" w14:textId="09253B66" w:rsidR="07DEE7C1" w:rsidRDefault="07DEE7C1" w:rsidP="07DEE7C1">
          <w:pPr>
            <w:pStyle w:val="Header"/>
            <w:ind w:right="-115"/>
            <w:jc w:val="right"/>
          </w:pPr>
        </w:p>
      </w:tc>
    </w:tr>
  </w:tbl>
  <w:p w14:paraId="1416F891" w14:textId="5130AA3E" w:rsidR="07DEE7C1" w:rsidRDefault="07DEE7C1" w:rsidP="07DEE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3C7B4" w14:textId="77777777" w:rsidR="005A3C7C" w:rsidRDefault="005A3C7C" w:rsidP="0097232A">
      <w:pPr>
        <w:spacing w:after="0" w:line="240" w:lineRule="auto"/>
      </w:pPr>
      <w:r>
        <w:separator/>
      </w:r>
    </w:p>
  </w:footnote>
  <w:footnote w:type="continuationSeparator" w:id="0">
    <w:p w14:paraId="5B13DDCA" w14:textId="77777777" w:rsidR="005A3C7C" w:rsidRDefault="005A3C7C" w:rsidP="0097232A">
      <w:pPr>
        <w:spacing w:after="0" w:line="240" w:lineRule="auto"/>
      </w:pPr>
      <w:r>
        <w:continuationSeparator/>
      </w:r>
    </w:p>
  </w:footnote>
  <w:footnote w:type="continuationNotice" w:id="1">
    <w:p w14:paraId="7484D18D" w14:textId="77777777" w:rsidR="005A3C7C" w:rsidRDefault="005A3C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93A9" w14:textId="48A0824E" w:rsidR="0097232A" w:rsidRDefault="003F490A" w:rsidP="003F490A">
    <w:r>
      <w:rPr>
        <w:rFonts w:ascii="Gilroy-Bold" w:eastAsia="Arial Narrow" w:hAnsi="Gilroy-Bold" w:cs="Arial Narrow"/>
        <w:noProof/>
        <w:sz w:val="16"/>
        <w:szCs w:val="16"/>
      </w:rPr>
      <w:drawing>
        <wp:anchor distT="0" distB="0" distL="114300" distR="114300" simplePos="0" relativeHeight="251658240" behindDoc="1" locked="0" layoutInCell="1" allowOverlap="1" wp14:anchorId="177580FC" wp14:editId="40F5B41F">
          <wp:simplePos x="0" y="0"/>
          <wp:positionH relativeFrom="column">
            <wp:posOffset>-922020</wp:posOffset>
          </wp:positionH>
          <wp:positionV relativeFrom="paragraph">
            <wp:posOffset>-457200</wp:posOffset>
          </wp:positionV>
          <wp:extent cx="7764780" cy="929640"/>
          <wp:effectExtent l="0" t="0" r="7620" b="3810"/>
          <wp:wrapTight wrapText="bothSides">
            <wp:wrapPolygon edited="0">
              <wp:start x="0" y="0"/>
              <wp:lineTo x="0" y="21246"/>
              <wp:lineTo x="21568" y="21246"/>
              <wp:lineTo x="2156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764780" cy="92964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14B7" w14:textId="77777777" w:rsidR="0005616F" w:rsidRDefault="003B469B" w:rsidP="001B6A71">
    <w:pPr>
      <w:rPr>
        <w:rFonts w:ascii="Gilroy-Heavy" w:hAnsi="Gilroy-Heavy"/>
        <w:b/>
        <w:bCs/>
        <w:sz w:val="24"/>
        <w:szCs w:val="24"/>
      </w:rPr>
    </w:pPr>
    <w:r>
      <w:rPr>
        <w:rFonts w:ascii="Gilroy-Bold" w:eastAsia="Arial Narrow" w:hAnsi="Gilroy-Bold" w:cs="Arial Narrow"/>
        <w:noProof/>
        <w:sz w:val="16"/>
        <w:szCs w:val="16"/>
      </w:rPr>
      <w:drawing>
        <wp:anchor distT="0" distB="0" distL="114300" distR="114300" simplePos="0" relativeHeight="251658242" behindDoc="1" locked="0" layoutInCell="1" allowOverlap="1" wp14:anchorId="01191FE5" wp14:editId="2935425B">
          <wp:simplePos x="0" y="0"/>
          <wp:positionH relativeFrom="column">
            <wp:posOffset>-906780</wp:posOffset>
          </wp:positionH>
          <wp:positionV relativeFrom="paragraph">
            <wp:posOffset>-441960</wp:posOffset>
          </wp:positionV>
          <wp:extent cx="7757160" cy="975360"/>
          <wp:effectExtent l="0" t="0" r="0" b="0"/>
          <wp:wrapTight wrapText="bothSides">
            <wp:wrapPolygon edited="0">
              <wp:start x="0" y="0"/>
              <wp:lineTo x="0" y="21094"/>
              <wp:lineTo x="21536" y="21094"/>
              <wp:lineTo x="2153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757160" cy="97536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rsidR="02997951" w:rsidRPr="001808C6">
      <w:rPr>
        <w:rFonts w:ascii="Gilroy-Heavy" w:hAnsi="Gilroy-Heavy"/>
        <w:b/>
        <w:bCs/>
        <w:sz w:val="24"/>
        <w:szCs w:val="24"/>
      </w:rPr>
      <w:t xml:space="preserve">                                    </w:t>
    </w:r>
  </w:p>
  <w:p w14:paraId="59CB7B8E" w14:textId="663A94F5" w:rsidR="00C249C3" w:rsidRPr="00AC2791" w:rsidRDefault="00AC2791" w:rsidP="00AC2791">
    <w:pPr>
      <w:ind w:left="7920"/>
      <w:rPr>
        <w:rFonts w:ascii="Gilroy-Heavy" w:hAnsi="Gilroy-Heavy"/>
        <w:b/>
        <w:bCs/>
        <w:sz w:val="24"/>
        <w:szCs w:val="24"/>
      </w:rPr>
    </w:pPr>
    <w:r>
      <w:rPr>
        <w:rFonts w:ascii="Gilroy-Heavy" w:hAnsi="Gilroy-Heavy"/>
        <w:b/>
        <w:bCs/>
        <w:sz w:val="24"/>
        <w:szCs w:val="24"/>
      </w:rPr>
      <w:t>April</w:t>
    </w:r>
    <w:r w:rsidR="00A12EE7">
      <w:rPr>
        <w:rFonts w:ascii="Gilroy-Heavy" w:hAnsi="Gilroy-Heavy"/>
        <w:b/>
        <w:bCs/>
        <w:sz w:val="24"/>
        <w:szCs w:val="24"/>
      </w:rPr>
      <w:t xml:space="preserve"> </w:t>
    </w:r>
    <w:r w:rsidR="02997951" w:rsidRPr="00D75EF5">
      <w:rPr>
        <w:sz w:val="24"/>
        <w:szCs w:val="24"/>
      </w:rPr>
      <w:t>202</w:t>
    </w:r>
    <w:r w:rsidR="00A12EE7">
      <w:rPr>
        <w:sz w:val="24"/>
        <w:szCs w:val="24"/>
      </w:rPr>
      <w:t>3</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771A"/>
    <w:multiLevelType w:val="hybridMultilevel"/>
    <w:tmpl w:val="C616D10C"/>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 w15:restartNumberingAfterBreak="0">
    <w:nsid w:val="0B4A3DDD"/>
    <w:multiLevelType w:val="hybridMultilevel"/>
    <w:tmpl w:val="E6201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B4260"/>
    <w:multiLevelType w:val="hybridMultilevel"/>
    <w:tmpl w:val="3EAA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57E8C"/>
    <w:multiLevelType w:val="hybridMultilevel"/>
    <w:tmpl w:val="1AB62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C71E87"/>
    <w:multiLevelType w:val="hybridMultilevel"/>
    <w:tmpl w:val="707CBAAA"/>
    <w:lvl w:ilvl="0" w:tplc="B4CEF93E">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2E40BF8"/>
    <w:multiLevelType w:val="hybridMultilevel"/>
    <w:tmpl w:val="9CBA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6D5469"/>
    <w:multiLevelType w:val="hybridMultilevel"/>
    <w:tmpl w:val="0E48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247DC4"/>
    <w:multiLevelType w:val="hybridMultilevel"/>
    <w:tmpl w:val="18E8F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B17E69"/>
    <w:multiLevelType w:val="hybridMultilevel"/>
    <w:tmpl w:val="B24C9A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DD93D86"/>
    <w:multiLevelType w:val="hybridMultilevel"/>
    <w:tmpl w:val="C950BDD6"/>
    <w:lvl w:ilvl="0" w:tplc="2D98B060">
      <w:start w:val="3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1252599">
    <w:abstractNumId w:val="9"/>
  </w:num>
  <w:num w:numId="2" w16cid:durableId="240217570">
    <w:abstractNumId w:val="1"/>
  </w:num>
  <w:num w:numId="3" w16cid:durableId="2003388142">
    <w:abstractNumId w:val="4"/>
  </w:num>
  <w:num w:numId="4" w16cid:durableId="672687277">
    <w:abstractNumId w:val="8"/>
  </w:num>
  <w:num w:numId="5" w16cid:durableId="420415025">
    <w:abstractNumId w:val="5"/>
  </w:num>
  <w:num w:numId="6" w16cid:durableId="1633559127">
    <w:abstractNumId w:val="3"/>
  </w:num>
  <w:num w:numId="7" w16cid:durableId="48311288">
    <w:abstractNumId w:val="2"/>
  </w:num>
  <w:num w:numId="8" w16cid:durableId="1557357726">
    <w:abstractNumId w:val="7"/>
  </w:num>
  <w:num w:numId="9" w16cid:durableId="1591813417">
    <w:abstractNumId w:val="6"/>
  </w:num>
  <w:num w:numId="10" w16cid:durableId="1483161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BF"/>
    <w:rsid w:val="00000E5A"/>
    <w:rsid w:val="000027E0"/>
    <w:rsid w:val="000037B9"/>
    <w:rsid w:val="00004C80"/>
    <w:rsid w:val="00005616"/>
    <w:rsid w:val="000057F9"/>
    <w:rsid w:val="00005C27"/>
    <w:rsid w:val="000074F0"/>
    <w:rsid w:val="00010C10"/>
    <w:rsid w:val="00010C63"/>
    <w:rsid w:val="00011464"/>
    <w:rsid w:val="00011762"/>
    <w:rsid w:val="00012DAD"/>
    <w:rsid w:val="00013A65"/>
    <w:rsid w:val="000153D3"/>
    <w:rsid w:val="00015BDF"/>
    <w:rsid w:val="00015DCE"/>
    <w:rsid w:val="00016A0D"/>
    <w:rsid w:val="00020300"/>
    <w:rsid w:val="00020C50"/>
    <w:rsid w:val="000211E1"/>
    <w:rsid w:val="00021580"/>
    <w:rsid w:val="0002212B"/>
    <w:rsid w:val="00023C80"/>
    <w:rsid w:val="0002556B"/>
    <w:rsid w:val="00025BF4"/>
    <w:rsid w:val="000262B7"/>
    <w:rsid w:val="00026892"/>
    <w:rsid w:val="000275F8"/>
    <w:rsid w:val="00027C6F"/>
    <w:rsid w:val="00030218"/>
    <w:rsid w:val="00030D35"/>
    <w:rsid w:val="00032780"/>
    <w:rsid w:val="000328C7"/>
    <w:rsid w:val="000332CB"/>
    <w:rsid w:val="000332FF"/>
    <w:rsid w:val="000337FD"/>
    <w:rsid w:val="000340D3"/>
    <w:rsid w:val="00036B89"/>
    <w:rsid w:val="000409BA"/>
    <w:rsid w:val="000452A8"/>
    <w:rsid w:val="00050283"/>
    <w:rsid w:val="000515CF"/>
    <w:rsid w:val="00053449"/>
    <w:rsid w:val="000535E9"/>
    <w:rsid w:val="00054663"/>
    <w:rsid w:val="00055BAF"/>
    <w:rsid w:val="0005616F"/>
    <w:rsid w:val="00057626"/>
    <w:rsid w:val="00057C98"/>
    <w:rsid w:val="00057E83"/>
    <w:rsid w:val="00061486"/>
    <w:rsid w:val="000618EF"/>
    <w:rsid w:val="00062599"/>
    <w:rsid w:val="00062C38"/>
    <w:rsid w:val="00063242"/>
    <w:rsid w:val="00064A60"/>
    <w:rsid w:val="00064B9E"/>
    <w:rsid w:val="000660C2"/>
    <w:rsid w:val="00066EC4"/>
    <w:rsid w:val="000677FF"/>
    <w:rsid w:val="00067904"/>
    <w:rsid w:val="0007083D"/>
    <w:rsid w:val="000723B8"/>
    <w:rsid w:val="000730DC"/>
    <w:rsid w:val="00073863"/>
    <w:rsid w:val="000755A3"/>
    <w:rsid w:val="00077AB5"/>
    <w:rsid w:val="000821E5"/>
    <w:rsid w:val="00083708"/>
    <w:rsid w:val="00083B15"/>
    <w:rsid w:val="00083D78"/>
    <w:rsid w:val="00084E9B"/>
    <w:rsid w:val="00085F8F"/>
    <w:rsid w:val="000874EC"/>
    <w:rsid w:val="00087EFD"/>
    <w:rsid w:val="000903DE"/>
    <w:rsid w:val="00092888"/>
    <w:rsid w:val="00093497"/>
    <w:rsid w:val="00094AE9"/>
    <w:rsid w:val="000971E9"/>
    <w:rsid w:val="0009755D"/>
    <w:rsid w:val="00097AF3"/>
    <w:rsid w:val="00097DCD"/>
    <w:rsid w:val="000A1F31"/>
    <w:rsid w:val="000A52E9"/>
    <w:rsid w:val="000A6A8D"/>
    <w:rsid w:val="000A6C89"/>
    <w:rsid w:val="000A7F3E"/>
    <w:rsid w:val="000B00B7"/>
    <w:rsid w:val="000B053E"/>
    <w:rsid w:val="000B10AF"/>
    <w:rsid w:val="000B1717"/>
    <w:rsid w:val="000B1A5C"/>
    <w:rsid w:val="000B1B7E"/>
    <w:rsid w:val="000B2C61"/>
    <w:rsid w:val="000B3678"/>
    <w:rsid w:val="000B510A"/>
    <w:rsid w:val="000B62A4"/>
    <w:rsid w:val="000B6640"/>
    <w:rsid w:val="000C033D"/>
    <w:rsid w:val="000C09DC"/>
    <w:rsid w:val="000C0A64"/>
    <w:rsid w:val="000C0AEF"/>
    <w:rsid w:val="000C1DC0"/>
    <w:rsid w:val="000C297A"/>
    <w:rsid w:val="000C3547"/>
    <w:rsid w:val="000C3685"/>
    <w:rsid w:val="000C3968"/>
    <w:rsid w:val="000C3A5C"/>
    <w:rsid w:val="000C4CBE"/>
    <w:rsid w:val="000C5436"/>
    <w:rsid w:val="000C6ECC"/>
    <w:rsid w:val="000C7087"/>
    <w:rsid w:val="000D1F67"/>
    <w:rsid w:val="000D1FCC"/>
    <w:rsid w:val="000D5077"/>
    <w:rsid w:val="000D5172"/>
    <w:rsid w:val="000D53C1"/>
    <w:rsid w:val="000D650F"/>
    <w:rsid w:val="000D6C95"/>
    <w:rsid w:val="000E004C"/>
    <w:rsid w:val="000E0235"/>
    <w:rsid w:val="000E0344"/>
    <w:rsid w:val="000E0870"/>
    <w:rsid w:val="000E12A6"/>
    <w:rsid w:val="000E220F"/>
    <w:rsid w:val="000E59EC"/>
    <w:rsid w:val="000E5EED"/>
    <w:rsid w:val="000E65C8"/>
    <w:rsid w:val="000E6ADA"/>
    <w:rsid w:val="000E718D"/>
    <w:rsid w:val="000E733D"/>
    <w:rsid w:val="000F0704"/>
    <w:rsid w:val="000F0DC5"/>
    <w:rsid w:val="000F1436"/>
    <w:rsid w:val="000F1B42"/>
    <w:rsid w:val="000F35DD"/>
    <w:rsid w:val="000F3C2C"/>
    <w:rsid w:val="000F5186"/>
    <w:rsid w:val="000F7B65"/>
    <w:rsid w:val="00102569"/>
    <w:rsid w:val="00102664"/>
    <w:rsid w:val="00103A64"/>
    <w:rsid w:val="00105395"/>
    <w:rsid w:val="00106F73"/>
    <w:rsid w:val="00107EBE"/>
    <w:rsid w:val="00111F4F"/>
    <w:rsid w:val="00113662"/>
    <w:rsid w:val="001136C5"/>
    <w:rsid w:val="001139AE"/>
    <w:rsid w:val="00113BEE"/>
    <w:rsid w:val="001143AB"/>
    <w:rsid w:val="00114FF0"/>
    <w:rsid w:val="00115936"/>
    <w:rsid w:val="00117BFC"/>
    <w:rsid w:val="00121846"/>
    <w:rsid w:val="00121A2B"/>
    <w:rsid w:val="00121BA9"/>
    <w:rsid w:val="001232AB"/>
    <w:rsid w:val="0012389A"/>
    <w:rsid w:val="001241C0"/>
    <w:rsid w:val="00124554"/>
    <w:rsid w:val="00125DB2"/>
    <w:rsid w:val="001265D8"/>
    <w:rsid w:val="00127278"/>
    <w:rsid w:val="00130089"/>
    <w:rsid w:val="0013042A"/>
    <w:rsid w:val="00130A41"/>
    <w:rsid w:val="00131629"/>
    <w:rsid w:val="00131C1D"/>
    <w:rsid w:val="0013289C"/>
    <w:rsid w:val="00132C05"/>
    <w:rsid w:val="00133DCC"/>
    <w:rsid w:val="00134079"/>
    <w:rsid w:val="001354A3"/>
    <w:rsid w:val="00136179"/>
    <w:rsid w:val="00136ADC"/>
    <w:rsid w:val="00137122"/>
    <w:rsid w:val="00143D9D"/>
    <w:rsid w:val="00145764"/>
    <w:rsid w:val="00145A9C"/>
    <w:rsid w:val="001461EB"/>
    <w:rsid w:val="00146B8A"/>
    <w:rsid w:val="00146EFC"/>
    <w:rsid w:val="001470B5"/>
    <w:rsid w:val="00147C09"/>
    <w:rsid w:val="00147D39"/>
    <w:rsid w:val="00150DE6"/>
    <w:rsid w:val="00151E1E"/>
    <w:rsid w:val="00152405"/>
    <w:rsid w:val="00153AA3"/>
    <w:rsid w:val="0015595D"/>
    <w:rsid w:val="001572F8"/>
    <w:rsid w:val="001578F4"/>
    <w:rsid w:val="0016058E"/>
    <w:rsid w:val="00161337"/>
    <w:rsid w:val="001616F9"/>
    <w:rsid w:val="00163408"/>
    <w:rsid w:val="00163FAA"/>
    <w:rsid w:val="001649F6"/>
    <w:rsid w:val="001672A7"/>
    <w:rsid w:val="001702E7"/>
    <w:rsid w:val="001703BD"/>
    <w:rsid w:val="001716FA"/>
    <w:rsid w:val="00174B3F"/>
    <w:rsid w:val="0017591E"/>
    <w:rsid w:val="00175CA4"/>
    <w:rsid w:val="001760D9"/>
    <w:rsid w:val="001775FD"/>
    <w:rsid w:val="00180181"/>
    <w:rsid w:val="001808C6"/>
    <w:rsid w:val="001817EB"/>
    <w:rsid w:val="0018483C"/>
    <w:rsid w:val="001849D0"/>
    <w:rsid w:val="001902C9"/>
    <w:rsid w:val="0019103F"/>
    <w:rsid w:val="001926D4"/>
    <w:rsid w:val="00193F87"/>
    <w:rsid w:val="00196C04"/>
    <w:rsid w:val="001A0162"/>
    <w:rsid w:val="001A3453"/>
    <w:rsid w:val="001A36A2"/>
    <w:rsid w:val="001A3E97"/>
    <w:rsid w:val="001A49C7"/>
    <w:rsid w:val="001A5325"/>
    <w:rsid w:val="001A685B"/>
    <w:rsid w:val="001B09FE"/>
    <w:rsid w:val="001B0ABB"/>
    <w:rsid w:val="001B12A3"/>
    <w:rsid w:val="001B1362"/>
    <w:rsid w:val="001B2A60"/>
    <w:rsid w:val="001B4268"/>
    <w:rsid w:val="001B44D7"/>
    <w:rsid w:val="001B59F4"/>
    <w:rsid w:val="001B6A71"/>
    <w:rsid w:val="001B6D0C"/>
    <w:rsid w:val="001B74D4"/>
    <w:rsid w:val="001C17A5"/>
    <w:rsid w:val="001C1C5F"/>
    <w:rsid w:val="001C2C57"/>
    <w:rsid w:val="001C58D7"/>
    <w:rsid w:val="001C5EAF"/>
    <w:rsid w:val="001C654C"/>
    <w:rsid w:val="001C6E13"/>
    <w:rsid w:val="001C7FB9"/>
    <w:rsid w:val="001D00AA"/>
    <w:rsid w:val="001D1609"/>
    <w:rsid w:val="001D2809"/>
    <w:rsid w:val="001D2BE7"/>
    <w:rsid w:val="001D3A76"/>
    <w:rsid w:val="001D4CF5"/>
    <w:rsid w:val="001D59F1"/>
    <w:rsid w:val="001D5A7B"/>
    <w:rsid w:val="001E1D74"/>
    <w:rsid w:val="001E2110"/>
    <w:rsid w:val="001E3160"/>
    <w:rsid w:val="001E3542"/>
    <w:rsid w:val="001E4E0A"/>
    <w:rsid w:val="001E4F55"/>
    <w:rsid w:val="001E5125"/>
    <w:rsid w:val="001E62B2"/>
    <w:rsid w:val="001E6DB4"/>
    <w:rsid w:val="001E7590"/>
    <w:rsid w:val="001E7A35"/>
    <w:rsid w:val="001F09C6"/>
    <w:rsid w:val="001F0C5D"/>
    <w:rsid w:val="001F0DF5"/>
    <w:rsid w:val="001F1A58"/>
    <w:rsid w:val="001F1DED"/>
    <w:rsid w:val="001F262C"/>
    <w:rsid w:val="001F327B"/>
    <w:rsid w:val="001F5AE7"/>
    <w:rsid w:val="001F5C5B"/>
    <w:rsid w:val="001F6BE8"/>
    <w:rsid w:val="001F7ECB"/>
    <w:rsid w:val="002005FD"/>
    <w:rsid w:val="00202929"/>
    <w:rsid w:val="002033B3"/>
    <w:rsid w:val="0020555B"/>
    <w:rsid w:val="00205825"/>
    <w:rsid w:val="00205CFA"/>
    <w:rsid w:val="00211CD1"/>
    <w:rsid w:val="0021214C"/>
    <w:rsid w:val="00212D7F"/>
    <w:rsid w:val="00212E55"/>
    <w:rsid w:val="0021447E"/>
    <w:rsid w:val="00215B9D"/>
    <w:rsid w:val="002211AE"/>
    <w:rsid w:val="00222367"/>
    <w:rsid w:val="0022408A"/>
    <w:rsid w:val="00224BF8"/>
    <w:rsid w:val="00225617"/>
    <w:rsid w:val="00226519"/>
    <w:rsid w:val="00227587"/>
    <w:rsid w:val="00227BBB"/>
    <w:rsid w:val="00230207"/>
    <w:rsid w:val="00233EF9"/>
    <w:rsid w:val="00236B4B"/>
    <w:rsid w:val="00236F20"/>
    <w:rsid w:val="00240852"/>
    <w:rsid w:val="00240EA4"/>
    <w:rsid w:val="00243580"/>
    <w:rsid w:val="002478FC"/>
    <w:rsid w:val="00247D6A"/>
    <w:rsid w:val="0025021B"/>
    <w:rsid w:val="00250549"/>
    <w:rsid w:val="00250602"/>
    <w:rsid w:val="00250E0D"/>
    <w:rsid w:val="0025303F"/>
    <w:rsid w:val="002536A3"/>
    <w:rsid w:val="0025416D"/>
    <w:rsid w:val="00255C3A"/>
    <w:rsid w:val="0026033F"/>
    <w:rsid w:val="0026181C"/>
    <w:rsid w:val="00263D53"/>
    <w:rsid w:val="00264499"/>
    <w:rsid w:val="002649CF"/>
    <w:rsid w:val="00265053"/>
    <w:rsid w:val="002659CF"/>
    <w:rsid w:val="00266780"/>
    <w:rsid w:val="00267307"/>
    <w:rsid w:val="002702D6"/>
    <w:rsid w:val="002716B9"/>
    <w:rsid w:val="00272589"/>
    <w:rsid w:val="0027300B"/>
    <w:rsid w:val="0027348B"/>
    <w:rsid w:val="00274CF8"/>
    <w:rsid w:val="00275BFD"/>
    <w:rsid w:val="002811F3"/>
    <w:rsid w:val="002812EC"/>
    <w:rsid w:val="00282BCC"/>
    <w:rsid w:val="00282C4E"/>
    <w:rsid w:val="002832EF"/>
    <w:rsid w:val="002832F1"/>
    <w:rsid w:val="00283926"/>
    <w:rsid w:val="00284FEA"/>
    <w:rsid w:val="0028551B"/>
    <w:rsid w:val="00285F27"/>
    <w:rsid w:val="00286B25"/>
    <w:rsid w:val="00286EC0"/>
    <w:rsid w:val="00287183"/>
    <w:rsid w:val="00290C9A"/>
    <w:rsid w:val="00290D55"/>
    <w:rsid w:val="002916F2"/>
    <w:rsid w:val="002923F4"/>
    <w:rsid w:val="00293844"/>
    <w:rsid w:val="00294AAC"/>
    <w:rsid w:val="002954B9"/>
    <w:rsid w:val="0029675F"/>
    <w:rsid w:val="002967F7"/>
    <w:rsid w:val="00296A07"/>
    <w:rsid w:val="00296C08"/>
    <w:rsid w:val="002A15A3"/>
    <w:rsid w:val="002A278A"/>
    <w:rsid w:val="002A2D82"/>
    <w:rsid w:val="002A3CE7"/>
    <w:rsid w:val="002A51FB"/>
    <w:rsid w:val="002A6826"/>
    <w:rsid w:val="002A6DF2"/>
    <w:rsid w:val="002A74BF"/>
    <w:rsid w:val="002B0F03"/>
    <w:rsid w:val="002B0F79"/>
    <w:rsid w:val="002B1108"/>
    <w:rsid w:val="002B1DFB"/>
    <w:rsid w:val="002B4242"/>
    <w:rsid w:val="002B468F"/>
    <w:rsid w:val="002B659D"/>
    <w:rsid w:val="002B6A0E"/>
    <w:rsid w:val="002B6BE7"/>
    <w:rsid w:val="002B6E7D"/>
    <w:rsid w:val="002B750C"/>
    <w:rsid w:val="002B758A"/>
    <w:rsid w:val="002B7CDB"/>
    <w:rsid w:val="002C0B4B"/>
    <w:rsid w:val="002C1097"/>
    <w:rsid w:val="002C1E5A"/>
    <w:rsid w:val="002C4B9C"/>
    <w:rsid w:val="002C5311"/>
    <w:rsid w:val="002C5AD0"/>
    <w:rsid w:val="002C5E41"/>
    <w:rsid w:val="002D0B50"/>
    <w:rsid w:val="002D1318"/>
    <w:rsid w:val="002D152C"/>
    <w:rsid w:val="002D3687"/>
    <w:rsid w:val="002D42F4"/>
    <w:rsid w:val="002D59B8"/>
    <w:rsid w:val="002D5BD0"/>
    <w:rsid w:val="002D75E1"/>
    <w:rsid w:val="002D7C1C"/>
    <w:rsid w:val="002D7E5B"/>
    <w:rsid w:val="002E2E41"/>
    <w:rsid w:val="002E45CC"/>
    <w:rsid w:val="002E622B"/>
    <w:rsid w:val="002E638A"/>
    <w:rsid w:val="002E7FCC"/>
    <w:rsid w:val="002F0081"/>
    <w:rsid w:val="002F01CC"/>
    <w:rsid w:val="002F0BB0"/>
    <w:rsid w:val="002F15B1"/>
    <w:rsid w:val="002F25F0"/>
    <w:rsid w:val="002F64B4"/>
    <w:rsid w:val="002F6632"/>
    <w:rsid w:val="00300A98"/>
    <w:rsid w:val="003010FC"/>
    <w:rsid w:val="0030167F"/>
    <w:rsid w:val="0030184F"/>
    <w:rsid w:val="00301C5D"/>
    <w:rsid w:val="00301D9C"/>
    <w:rsid w:val="00301FC5"/>
    <w:rsid w:val="00303A18"/>
    <w:rsid w:val="00303FC2"/>
    <w:rsid w:val="00305E35"/>
    <w:rsid w:val="00306233"/>
    <w:rsid w:val="00306E3A"/>
    <w:rsid w:val="00307BD7"/>
    <w:rsid w:val="003104C8"/>
    <w:rsid w:val="00311552"/>
    <w:rsid w:val="0031191C"/>
    <w:rsid w:val="00311C77"/>
    <w:rsid w:val="00315A32"/>
    <w:rsid w:val="003206DD"/>
    <w:rsid w:val="0032132D"/>
    <w:rsid w:val="003218A0"/>
    <w:rsid w:val="003219AF"/>
    <w:rsid w:val="003232A3"/>
    <w:rsid w:val="00324CFD"/>
    <w:rsid w:val="003259AE"/>
    <w:rsid w:val="00325A4B"/>
    <w:rsid w:val="00326B62"/>
    <w:rsid w:val="00326CC0"/>
    <w:rsid w:val="00326E5F"/>
    <w:rsid w:val="00327239"/>
    <w:rsid w:val="00330A76"/>
    <w:rsid w:val="003318C9"/>
    <w:rsid w:val="00333EA3"/>
    <w:rsid w:val="00334206"/>
    <w:rsid w:val="003351CD"/>
    <w:rsid w:val="00335886"/>
    <w:rsid w:val="003360EF"/>
    <w:rsid w:val="00336787"/>
    <w:rsid w:val="0033743B"/>
    <w:rsid w:val="00337DC0"/>
    <w:rsid w:val="003401B7"/>
    <w:rsid w:val="00340758"/>
    <w:rsid w:val="00340A99"/>
    <w:rsid w:val="003415C5"/>
    <w:rsid w:val="003440CD"/>
    <w:rsid w:val="003449B3"/>
    <w:rsid w:val="0034551B"/>
    <w:rsid w:val="00345EED"/>
    <w:rsid w:val="00346E81"/>
    <w:rsid w:val="00347778"/>
    <w:rsid w:val="00350005"/>
    <w:rsid w:val="003505E6"/>
    <w:rsid w:val="00350C0A"/>
    <w:rsid w:val="00351C37"/>
    <w:rsid w:val="00352667"/>
    <w:rsid w:val="00352899"/>
    <w:rsid w:val="00354D0B"/>
    <w:rsid w:val="00355350"/>
    <w:rsid w:val="00355E61"/>
    <w:rsid w:val="00356134"/>
    <w:rsid w:val="003564CD"/>
    <w:rsid w:val="00357AE0"/>
    <w:rsid w:val="00360651"/>
    <w:rsid w:val="00360714"/>
    <w:rsid w:val="00360C13"/>
    <w:rsid w:val="00361A74"/>
    <w:rsid w:val="00362B01"/>
    <w:rsid w:val="0036392C"/>
    <w:rsid w:val="0036544C"/>
    <w:rsid w:val="00366B1E"/>
    <w:rsid w:val="00366CB6"/>
    <w:rsid w:val="00367612"/>
    <w:rsid w:val="00367696"/>
    <w:rsid w:val="00367745"/>
    <w:rsid w:val="00367AB0"/>
    <w:rsid w:val="00370CFC"/>
    <w:rsid w:val="00370E34"/>
    <w:rsid w:val="003718D9"/>
    <w:rsid w:val="003720FF"/>
    <w:rsid w:val="00373223"/>
    <w:rsid w:val="003751FC"/>
    <w:rsid w:val="00375596"/>
    <w:rsid w:val="00377523"/>
    <w:rsid w:val="00380B91"/>
    <w:rsid w:val="00380FC7"/>
    <w:rsid w:val="003812DA"/>
    <w:rsid w:val="00381E7D"/>
    <w:rsid w:val="00383321"/>
    <w:rsid w:val="00386AB6"/>
    <w:rsid w:val="00386BBD"/>
    <w:rsid w:val="003873CD"/>
    <w:rsid w:val="00392C2D"/>
    <w:rsid w:val="0039403E"/>
    <w:rsid w:val="00394EEA"/>
    <w:rsid w:val="00395044"/>
    <w:rsid w:val="003966C5"/>
    <w:rsid w:val="00396D44"/>
    <w:rsid w:val="00397696"/>
    <w:rsid w:val="00397C75"/>
    <w:rsid w:val="00397D9F"/>
    <w:rsid w:val="003A204C"/>
    <w:rsid w:val="003A2E7A"/>
    <w:rsid w:val="003A37F4"/>
    <w:rsid w:val="003A6DA7"/>
    <w:rsid w:val="003A7113"/>
    <w:rsid w:val="003B21E4"/>
    <w:rsid w:val="003B430C"/>
    <w:rsid w:val="003B469B"/>
    <w:rsid w:val="003B472A"/>
    <w:rsid w:val="003B630F"/>
    <w:rsid w:val="003B6536"/>
    <w:rsid w:val="003B6B78"/>
    <w:rsid w:val="003B7B1D"/>
    <w:rsid w:val="003C0BBF"/>
    <w:rsid w:val="003C1414"/>
    <w:rsid w:val="003C2919"/>
    <w:rsid w:val="003C4736"/>
    <w:rsid w:val="003C476E"/>
    <w:rsid w:val="003C5A90"/>
    <w:rsid w:val="003C62F5"/>
    <w:rsid w:val="003C72D1"/>
    <w:rsid w:val="003D085E"/>
    <w:rsid w:val="003D0939"/>
    <w:rsid w:val="003D0A15"/>
    <w:rsid w:val="003D170D"/>
    <w:rsid w:val="003D2252"/>
    <w:rsid w:val="003D2546"/>
    <w:rsid w:val="003D258E"/>
    <w:rsid w:val="003D5B6F"/>
    <w:rsid w:val="003D648A"/>
    <w:rsid w:val="003D6A56"/>
    <w:rsid w:val="003E0EDE"/>
    <w:rsid w:val="003E27EB"/>
    <w:rsid w:val="003E2810"/>
    <w:rsid w:val="003E2EBA"/>
    <w:rsid w:val="003E3C4F"/>
    <w:rsid w:val="003E6D25"/>
    <w:rsid w:val="003F08DA"/>
    <w:rsid w:val="003F10EC"/>
    <w:rsid w:val="003F1620"/>
    <w:rsid w:val="003F185D"/>
    <w:rsid w:val="003F19F9"/>
    <w:rsid w:val="003F3157"/>
    <w:rsid w:val="003F3C0D"/>
    <w:rsid w:val="003F40C2"/>
    <w:rsid w:val="003F41F7"/>
    <w:rsid w:val="003F48C4"/>
    <w:rsid w:val="003F490A"/>
    <w:rsid w:val="003F4BC9"/>
    <w:rsid w:val="003F55F7"/>
    <w:rsid w:val="003F7689"/>
    <w:rsid w:val="003F772F"/>
    <w:rsid w:val="003F7A3B"/>
    <w:rsid w:val="004005F7"/>
    <w:rsid w:val="00400B66"/>
    <w:rsid w:val="0040221A"/>
    <w:rsid w:val="0040257A"/>
    <w:rsid w:val="00402C5D"/>
    <w:rsid w:val="00403861"/>
    <w:rsid w:val="00403C95"/>
    <w:rsid w:val="00406065"/>
    <w:rsid w:val="0040612D"/>
    <w:rsid w:val="004065AC"/>
    <w:rsid w:val="00406FC6"/>
    <w:rsid w:val="00407377"/>
    <w:rsid w:val="00407F21"/>
    <w:rsid w:val="00412E10"/>
    <w:rsid w:val="004134BC"/>
    <w:rsid w:val="004161E5"/>
    <w:rsid w:val="004164D1"/>
    <w:rsid w:val="00416633"/>
    <w:rsid w:val="004182E7"/>
    <w:rsid w:val="00421CAF"/>
    <w:rsid w:val="00421DFE"/>
    <w:rsid w:val="0042203A"/>
    <w:rsid w:val="004220C5"/>
    <w:rsid w:val="00422772"/>
    <w:rsid w:val="00422ACA"/>
    <w:rsid w:val="0042493B"/>
    <w:rsid w:val="0042547F"/>
    <w:rsid w:val="0042654E"/>
    <w:rsid w:val="004266B8"/>
    <w:rsid w:val="00426750"/>
    <w:rsid w:val="00431059"/>
    <w:rsid w:val="00431083"/>
    <w:rsid w:val="00431ABF"/>
    <w:rsid w:val="00433286"/>
    <w:rsid w:val="004339A1"/>
    <w:rsid w:val="00435511"/>
    <w:rsid w:val="00443824"/>
    <w:rsid w:val="00444F17"/>
    <w:rsid w:val="00451D6B"/>
    <w:rsid w:val="00453FB1"/>
    <w:rsid w:val="00454185"/>
    <w:rsid w:val="0045454E"/>
    <w:rsid w:val="004547B6"/>
    <w:rsid w:val="00455571"/>
    <w:rsid w:val="0045669A"/>
    <w:rsid w:val="004570A6"/>
    <w:rsid w:val="0045718B"/>
    <w:rsid w:val="00457285"/>
    <w:rsid w:val="0046067A"/>
    <w:rsid w:val="004618CE"/>
    <w:rsid w:val="0046270F"/>
    <w:rsid w:val="00462D4D"/>
    <w:rsid w:val="00465FD8"/>
    <w:rsid w:val="0046637D"/>
    <w:rsid w:val="004671B4"/>
    <w:rsid w:val="0046753B"/>
    <w:rsid w:val="00470B1E"/>
    <w:rsid w:val="00470E9F"/>
    <w:rsid w:val="004713C8"/>
    <w:rsid w:val="0047288E"/>
    <w:rsid w:val="00473769"/>
    <w:rsid w:val="00474FAE"/>
    <w:rsid w:val="00475972"/>
    <w:rsid w:val="004760CA"/>
    <w:rsid w:val="00477A8B"/>
    <w:rsid w:val="00477BD2"/>
    <w:rsid w:val="00480B6A"/>
    <w:rsid w:val="00480BD2"/>
    <w:rsid w:val="00480F56"/>
    <w:rsid w:val="0048209A"/>
    <w:rsid w:val="004822C3"/>
    <w:rsid w:val="00482758"/>
    <w:rsid w:val="004838E0"/>
    <w:rsid w:val="00484452"/>
    <w:rsid w:val="00485E44"/>
    <w:rsid w:val="00486BFC"/>
    <w:rsid w:val="004915EB"/>
    <w:rsid w:val="00491A6B"/>
    <w:rsid w:val="00491AF9"/>
    <w:rsid w:val="00491F90"/>
    <w:rsid w:val="00495AED"/>
    <w:rsid w:val="00496195"/>
    <w:rsid w:val="00496D6B"/>
    <w:rsid w:val="004A07EC"/>
    <w:rsid w:val="004A2146"/>
    <w:rsid w:val="004A22AC"/>
    <w:rsid w:val="004A2AFD"/>
    <w:rsid w:val="004A30AB"/>
    <w:rsid w:val="004A4F94"/>
    <w:rsid w:val="004A5295"/>
    <w:rsid w:val="004A59B6"/>
    <w:rsid w:val="004B0598"/>
    <w:rsid w:val="004B0AA5"/>
    <w:rsid w:val="004B0CEE"/>
    <w:rsid w:val="004B115C"/>
    <w:rsid w:val="004B155B"/>
    <w:rsid w:val="004B19B8"/>
    <w:rsid w:val="004B1F2C"/>
    <w:rsid w:val="004B42F3"/>
    <w:rsid w:val="004B4B32"/>
    <w:rsid w:val="004B510F"/>
    <w:rsid w:val="004B75C7"/>
    <w:rsid w:val="004B7845"/>
    <w:rsid w:val="004B7C74"/>
    <w:rsid w:val="004C26FA"/>
    <w:rsid w:val="004C2999"/>
    <w:rsid w:val="004C3490"/>
    <w:rsid w:val="004C4B08"/>
    <w:rsid w:val="004C59F4"/>
    <w:rsid w:val="004C6B99"/>
    <w:rsid w:val="004D00C9"/>
    <w:rsid w:val="004D24E9"/>
    <w:rsid w:val="004D2E12"/>
    <w:rsid w:val="004D4BE9"/>
    <w:rsid w:val="004D6E43"/>
    <w:rsid w:val="004D73FC"/>
    <w:rsid w:val="004E06C1"/>
    <w:rsid w:val="004E1484"/>
    <w:rsid w:val="004E253F"/>
    <w:rsid w:val="004E314F"/>
    <w:rsid w:val="004E3A8F"/>
    <w:rsid w:val="004E4223"/>
    <w:rsid w:val="004E59D3"/>
    <w:rsid w:val="004E628E"/>
    <w:rsid w:val="004E6C14"/>
    <w:rsid w:val="004F0ACA"/>
    <w:rsid w:val="004F1B78"/>
    <w:rsid w:val="004F1FF7"/>
    <w:rsid w:val="004F3ACD"/>
    <w:rsid w:val="004F3C10"/>
    <w:rsid w:val="004F5303"/>
    <w:rsid w:val="004F5304"/>
    <w:rsid w:val="004F5845"/>
    <w:rsid w:val="004F64B2"/>
    <w:rsid w:val="004F6B9F"/>
    <w:rsid w:val="004F6FC8"/>
    <w:rsid w:val="00501F61"/>
    <w:rsid w:val="00502A6E"/>
    <w:rsid w:val="0050327E"/>
    <w:rsid w:val="00505650"/>
    <w:rsid w:val="00505F48"/>
    <w:rsid w:val="00507AA7"/>
    <w:rsid w:val="00510B63"/>
    <w:rsid w:val="00511E7D"/>
    <w:rsid w:val="005123FE"/>
    <w:rsid w:val="00512FC6"/>
    <w:rsid w:val="00513449"/>
    <w:rsid w:val="005136D8"/>
    <w:rsid w:val="00513C98"/>
    <w:rsid w:val="00514247"/>
    <w:rsid w:val="005143A4"/>
    <w:rsid w:val="00514FAB"/>
    <w:rsid w:val="00515007"/>
    <w:rsid w:val="00516A77"/>
    <w:rsid w:val="00516D5C"/>
    <w:rsid w:val="005176EB"/>
    <w:rsid w:val="00517B93"/>
    <w:rsid w:val="00520801"/>
    <w:rsid w:val="0052100D"/>
    <w:rsid w:val="00523B0B"/>
    <w:rsid w:val="00525125"/>
    <w:rsid w:val="00525B71"/>
    <w:rsid w:val="00526C1F"/>
    <w:rsid w:val="00526DD1"/>
    <w:rsid w:val="0053330B"/>
    <w:rsid w:val="00535328"/>
    <w:rsid w:val="005353DF"/>
    <w:rsid w:val="00535800"/>
    <w:rsid w:val="0053592A"/>
    <w:rsid w:val="0053631A"/>
    <w:rsid w:val="0054096A"/>
    <w:rsid w:val="00540CFA"/>
    <w:rsid w:val="00540E6A"/>
    <w:rsid w:val="00541E77"/>
    <w:rsid w:val="005428B5"/>
    <w:rsid w:val="00542BF5"/>
    <w:rsid w:val="00543386"/>
    <w:rsid w:val="00545B41"/>
    <w:rsid w:val="00545FB0"/>
    <w:rsid w:val="005462A4"/>
    <w:rsid w:val="005476E2"/>
    <w:rsid w:val="00550BAC"/>
    <w:rsid w:val="00551C27"/>
    <w:rsid w:val="00552083"/>
    <w:rsid w:val="00552DB8"/>
    <w:rsid w:val="00553626"/>
    <w:rsid w:val="00553634"/>
    <w:rsid w:val="00553669"/>
    <w:rsid w:val="00553840"/>
    <w:rsid w:val="00554D12"/>
    <w:rsid w:val="005562D0"/>
    <w:rsid w:val="00556DA1"/>
    <w:rsid w:val="00557B28"/>
    <w:rsid w:val="00560D2A"/>
    <w:rsid w:val="00560F2E"/>
    <w:rsid w:val="00562DF1"/>
    <w:rsid w:val="005630B6"/>
    <w:rsid w:val="00564A3D"/>
    <w:rsid w:val="0056513E"/>
    <w:rsid w:val="00565337"/>
    <w:rsid w:val="005661C4"/>
    <w:rsid w:val="005666D2"/>
    <w:rsid w:val="005676E6"/>
    <w:rsid w:val="00572C3F"/>
    <w:rsid w:val="0057459B"/>
    <w:rsid w:val="00575559"/>
    <w:rsid w:val="00575F6A"/>
    <w:rsid w:val="005779D2"/>
    <w:rsid w:val="00581307"/>
    <w:rsid w:val="0058175B"/>
    <w:rsid w:val="00581B49"/>
    <w:rsid w:val="005824BF"/>
    <w:rsid w:val="00584A91"/>
    <w:rsid w:val="00586C0D"/>
    <w:rsid w:val="00586D61"/>
    <w:rsid w:val="00587120"/>
    <w:rsid w:val="0058714F"/>
    <w:rsid w:val="005874CE"/>
    <w:rsid w:val="00587838"/>
    <w:rsid w:val="00591016"/>
    <w:rsid w:val="0059230B"/>
    <w:rsid w:val="00592BD8"/>
    <w:rsid w:val="00595818"/>
    <w:rsid w:val="00596ABB"/>
    <w:rsid w:val="005A096D"/>
    <w:rsid w:val="005A0E13"/>
    <w:rsid w:val="005A202F"/>
    <w:rsid w:val="005A2941"/>
    <w:rsid w:val="005A2DE2"/>
    <w:rsid w:val="005A3C7C"/>
    <w:rsid w:val="005A4601"/>
    <w:rsid w:val="005A4D2F"/>
    <w:rsid w:val="005A51AB"/>
    <w:rsid w:val="005A552C"/>
    <w:rsid w:val="005A55F9"/>
    <w:rsid w:val="005A5A35"/>
    <w:rsid w:val="005A5A8F"/>
    <w:rsid w:val="005A6110"/>
    <w:rsid w:val="005B0009"/>
    <w:rsid w:val="005B0E88"/>
    <w:rsid w:val="005B43DE"/>
    <w:rsid w:val="005B4A3F"/>
    <w:rsid w:val="005B4E72"/>
    <w:rsid w:val="005B569A"/>
    <w:rsid w:val="005B5A19"/>
    <w:rsid w:val="005B5C30"/>
    <w:rsid w:val="005B5F77"/>
    <w:rsid w:val="005B6584"/>
    <w:rsid w:val="005B68D9"/>
    <w:rsid w:val="005B70DE"/>
    <w:rsid w:val="005C1230"/>
    <w:rsid w:val="005C1D99"/>
    <w:rsid w:val="005C1DB2"/>
    <w:rsid w:val="005C35C6"/>
    <w:rsid w:val="005C609C"/>
    <w:rsid w:val="005C6D3D"/>
    <w:rsid w:val="005C70F7"/>
    <w:rsid w:val="005C74A8"/>
    <w:rsid w:val="005D0ECA"/>
    <w:rsid w:val="005D0EF8"/>
    <w:rsid w:val="005D1684"/>
    <w:rsid w:val="005D19C6"/>
    <w:rsid w:val="005D1F7F"/>
    <w:rsid w:val="005D47B0"/>
    <w:rsid w:val="005D47EE"/>
    <w:rsid w:val="005D4C50"/>
    <w:rsid w:val="005D541A"/>
    <w:rsid w:val="005E0254"/>
    <w:rsid w:val="005E1DDF"/>
    <w:rsid w:val="005E3AF0"/>
    <w:rsid w:val="005E69A9"/>
    <w:rsid w:val="005E7AA7"/>
    <w:rsid w:val="005F02D8"/>
    <w:rsid w:val="005F1069"/>
    <w:rsid w:val="005F15F1"/>
    <w:rsid w:val="005F1B81"/>
    <w:rsid w:val="005F2388"/>
    <w:rsid w:val="005F3664"/>
    <w:rsid w:val="005F614B"/>
    <w:rsid w:val="005F6928"/>
    <w:rsid w:val="005F719C"/>
    <w:rsid w:val="005F7B2C"/>
    <w:rsid w:val="005F7D50"/>
    <w:rsid w:val="00600F9B"/>
    <w:rsid w:val="00601958"/>
    <w:rsid w:val="0060298B"/>
    <w:rsid w:val="00603CAB"/>
    <w:rsid w:val="00604AB0"/>
    <w:rsid w:val="0060623B"/>
    <w:rsid w:val="0061263A"/>
    <w:rsid w:val="00613B07"/>
    <w:rsid w:val="00614C98"/>
    <w:rsid w:val="0061524F"/>
    <w:rsid w:val="00616889"/>
    <w:rsid w:val="00616B13"/>
    <w:rsid w:val="006176EE"/>
    <w:rsid w:val="00620117"/>
    <w:rsid w:val="00620A2A"/>
    <w:rsid w:val="0062175C"/>
    <w:rsid w:val="00621C21"/>
    <w:rsid w:val="006244D5"/>
    <w:rsid w:val="00624A31"/>
    <w:rsid w:val="00631CD8"/>
    <w:rsid w:val="00631D54"/>
    <w:rsid w:val="00632FD7"/>
    <w:rsid w:val="00633963"/>
    <w:rsid w:val="00635167"/>
    <w:rsid w:val="006360D2"/>
    <w:rsid w:val="006379C5"/>
    <w:rsid w:val="00640EE1"/>
    <w:rsid w:val="006415E8"/>
    <w:rsid w:val="00643D79"/>
    <w:rsid w:val="00644F0D"/>
    <w:rsid w:val="0064724E"/>
    <w:rsid w:val="006476FB"/>
    <w:rsid w:val="00647D64"/>
    <w:rsid w:val="00647E9C"/>
    <w:rsid w:val="00651478"/>
    <w:rsid w:val="006517BD"/>
    <w:rsid w:val="00651ACC"/>
    <w:rsid w:val="00652F94"/>
    <w:rsid w:val="00653D49"/>
    <w:rsid w:val="00654192"/>
    <w:rsid w:val="00654CBE"/>
    <w:rsid w:val="006554E0"/>
    <w:rsid w:val="006564B4"/>
    <w:rsid w:val="00660601"/>
    <w:rsid w:val="00661DD2"/>
    <w:rsid w:val="006642EF"/>
    <w:rsid w:val="00666E34"/>
    <w:rsid w:val="00667970"/>
    <w:rsid w:val="00667E1F"/>
    <w:rsid w:val="006701AF"/>
    <w:rsid w:val="006702F2"/>
    <w:rsid w:val="00670902"/>
    <w:rsid w:val="006710D4"/>
    <w:rsid w:val="00671283"/>
    <w:rsid w:val="00671586"/>
    <w:rsid w:val="0067243A"/>
    <w:rsid w:val="0067343C"/>
    <w:rsid w:val="00674562"/>
    <w:rsid w:val="00674D3F"/>
    <w:rsid w:val="00674E9A"/>
    <w:rsid w:val="006769E1"/>
    <w:rsid w:val="00676A00"/>
    <w:rsid w:val="006777BF"/>
    <w:rsid w:val="00681206"/>
    <w:rsid w:val="00681A23"/>
    <w:rsid w:val="00683395"/>
    <w:rsid w:val="00683994"/>
    <w:rsid w:val="00683E3E"/>
    <w:rsid w:val="00683F55"/>
    <w:rsid w:val="0068470B"/>
    <w:rsid w:val="00685279"/>
    <w:rsid w:val="006863E3"/>
    <w:rsid w:val="0068738B"/>
    <w:rsid w:val="006878D0"/>
    <w:rsid w:val="00687C2B"/>
    <w:rsid w:val="00690067"/>
    <w:rsid w:val="00692296"/>
    <w:rsid w:val="006923B0"/>
    <w:rsid w:val="0069279E"/>
    <w:rsid w:val="0069317D"/>
    <w:rsid w:val="006942D1"/>
    <w:rsid w:val="00694DF3"/>
    <w:rsid w:val="00696BFD"/>
    <w:rsid w:val="0069729C"/>
    <w:rsid w:val="00697A0D"/>
    <w:rsid w:val="00697B9E"/>
    <w:rsid w:val="006A2745"/>
    <w:rsid w:val="006A3E0B"/>
    <w:rsid w:val="006A4715"/>
    <w:rsid w:val="006A5D3A"/>
    <w:rsid w:val="006A5EB5"/>
    <w:rsid w:val="006A65B5"/>
    <w:rsid w:val="006A6EB1"/>
    <w:rsid w:val="006B4E1A"/>
    <w:rsid w:val="006B5143"/>
    <w:rsid w:val="006B599B"/>
    <w:rsid w:val="006B6A9E"/>
    <w:rsid w:val="006C1577"/>
    <w:rsid w:val="006C20D4"/>
    <w:rsid w:val="006C2D9F"/>
    <w:rsid w:val="006C2E73"/>
    <w:rsid w:val="006C4331"/>
    <w:rsid w:val="006C526A"/>
    <w:rsid w:val="006C5F68"/>
    <w:rsid w:val="006C6439"/>
    <w:rsid w:val="006C7D68"/>
    <w:rsid w:val="006D0491"/>
    <w:rsid w:val="006D2EAB"/>
    <w:rsid w:val="006D4622"/>
    <w:rsid w:val="006D4A5C"/>
    <w:rsid w:val="006D4D05"/>
    <w:rsid w:val="006D611E"/>
    <w:rsid w:val="006D69C0"/>
    <w:rsid w:val="006D6F15"/>
    <w:rsid w:val="006D7FCC"/>
    <w:rsid w:val="006E007A"/>
    <w:rsid w:val="006E02EA"/>
    <w:rsid w:val="006E0714"/>
    <w:rsid w:val="006E14A7"/>
    <w:rsid w:val="006E22D8"/>
    <w:rsid w:val="006E3890"/>
    <w:rsid w:val="006E3A4C"/>
    <w:rsid w:val="006E3E08"/>
    <w:rsid w:val="006E456D"/>
    <w:rsid w:val="006E5527"/>
    <w:rsid w:val="006E6555"/>
    <w:rsid w:val="006E7B83"/>
    <w:rsid w:val="006F0B46"/>
    <w:rsid w:val="006F1520"/>
    <w:rsid w:val="006F177E"/>
    <w:rsid w:val="006F2C61"/>
    <w:rsid w:val="006F2D5C"/>
    <w:rsid w:val="006F2F6F"/>
    <w:rsid w:val="006F3845"/>
    <w:rsid w:val="006F3D43"/>
    <w:rsid w:val="006F3E34"/>
    <w:rsid w:val="006F3E87"/>
    <w:rsid w:val="006F41BB"/>
    <w:rsid w:val="006F4A94"/>
    <w:rsid w:val="006F7801"/>
    <w:rsid w:val="006F7C20"/>
    <w:rsid w:val="007003E2"/>
    <w:rsid w:val="007029AF"/>
    <w:rsid w:val="007029E2"/>
    <w:rsid w:val="00703296"/>
    <w:rsid w:val="00703A7B"/>
    <w:rsid w:val="00703E03"/>
    <w:rsid w:val="007043EF"/>
    <w:rsid w:val="00704F95"/>
    <w:rsid w:val="007056B4"/>
    <w:rsid w:val="00706888"/>
    <w:rsid w:val="0071082E"/>
    <w:rsid w:val="0071205B"/>
    <w:rsid w:val="007121EB"/>
    <w:rsid w:val="00712264"/>
    <w:rsid w:val="00712DDB"/>
    <w:rsid w:val="00713703"/>
    <w:rsid w:val="00713AB3"/>
    <w:rsid w:val="00714A94"/>
    <w:rsid w:val="00715524"/>
    <w:rsid w:val="007176F3"/>
    <w:rsid w:val="00717E49"/>
    <w:rsid w:val="00717F9F"/>
    <w:rsid w:val="00720391"/>
    <w:rsid w:val="00721A53"/>
    <w:rsid w:val="00723917"/>
    <w:rsid w:val="00723C00"/>
    <w:rsid w:val="0072471F"/>
    <w:rsid w:val="007247F4"/>
    <w:rsid w:val="0072613E"/>
    <w:rsid w:val="0072768C"/>
    <w:rsid w:val="0073050E"/>
    <w:rsid w:val="0073079C"/>
    <w:rsid w:val="00730FF7"/>
    <w:rsid w:val="00731959"/>
    <w:rsid w:val="00733152"/>
    <w:rsid w:val="00733F3C"/>
    <w:rsid w:val="00734176"/>
    <w:rsid w:val="007366EC"/>
    <w:rsid w:val="00737DB9"/>
    <w:rsid w:val="00740AAF"/>
    <w:rsid w:val="00742173"/>
    <w:rsid w:val="00742A49"/>
    <w:rsid w:val="00742DFD"/>
    <w:rsid w:val="00743BA3"/>
    <w:rsid w:val="007469B3"/>
    <w:rsid w:val="00746A6C"/>
    <w:rsid w:val="00746E4E"/>
    <w:rsid w:val="0074737E"/>
    <w:rsid w:val="00747BB5"/>
    <w:rsid w:val="00747ECA"/>
    <w:rsid w:val="00751669"/>
    <w:rsid w:val="007518D4"/>
    <w:rsid w:val="00752186"/>
    <w:rsid w:val="007522DC"/>
    <w:rsid w:val="00752F6A"/>
    <w:rsid w:val="007534C4"/>
    <w:rsid w:val="007550B8"/>
    <w:rsid w:val="007553F5"/>
    <w:rsid w:val="00756103"/>
    <w:rsid w:val="00756CEF"/>
    <w:rsid w:val="0076107B"/>
    <w:rsid w:val="0076127E"/>
    <w:rsid w:val="007617F3"/>
    <w:rsid w:val="00762427"/>
    <w:rsid w:val="00762524"/>
    <w:rsid w:val="007626B7"/>
    <w:rsid w:val="00762C28"/>
    <w:rsid w:val="00763FA8"/>
    <w:rsid w:val="00765E4B"/>
    <w:rsid w:val="00766B58"/>
    <w:rsid w:val="00767CA3"/>
    <w:rsid w:val="00767FEA"/>
    <w:rsid w:val="00771395"/>
    <w:rsid w:val="00771D23"/>
    <w:rsid w:val="0077235E"/>
    <w:rsid w:val="00773151"/>
    <w:rsid w:val="00775C05"/>
    <w:rsid w:val="00777A3A"/>
    <w:rsid w:val="00777F17"/>
    <w:rsid w:val="007800CE"/>
    <w:rsid w:val="007808F8"/>
    <w:rsid w:val="00781802"/>
    <w:rsid w:val="00782050"/>
    <w:rsid w:val="00782C97"/>
    <w:rsid w:val="00783346"/>
    <w:rsid w:val="00783862"/>
    <w:rsid w:val="007838BD"/>
    <w:rsid w:val="00783E7D"/>
    <w:rsid w:val="007840A6"/>
    <w:rsid w:val="0078467F"/>
    <w:rsid w:val="00784A1A"/>
    <w:rsid w:val="00784F50"/>
    <w:rsid w:val="00785751"/>
    <w:rsid w:val="00786013"/>
    <w:rsid w:val="007861F2"/>
    <w:rsid w:val="00786A6C"/>
    <w:rsid w:val="00786C25"/>
    <w:rsid w:val="00786F46"/>
    <w:rsid w:val="007905AD"/>
    <w:rsid w:val="00791833"/>
    <w:rsid w:val="00791EAA"/>
    <w:rsid w:val="00794054"/>
    <w:rsid w:val="00794333"/>
    <w:rsid w:val="0079536F"/>
    <w:rsid w:val="00795554"/>
    <w:rsid w:val="0079600D"/>
    <w:rsid w:val="007A0985"/>
    <w:rsid w:val="007A304E"/>
    <w:rsid w:val="007A312F"/>
    <w:rsid w:val="007A3BB2"/>
    <w:rsid w:val="007A3F0A"/>
    <w:rsid w:val="007A4775"/>
    <w:rsid w:val="007A4813"/>
    <w:rsid w:val="007A5818"/>
    <w:rsid w:val="007A6FC3"/>
    <w:rsid w:val="007A730A"/>
    <w:rsid w:val="007A7436"/>
    <w:rsid w:val="007A75C5"/>
    <w:rsid w:val="007B2783"/>
    <w:rsid w:val="007B2B10"/>
    <w:rsid w:val="007B389D"/>
    <w:rsid w:val="007B43FD"/>
    <w:rsid w:val="007B5CF9"/>
    <w:rsid w:val="007B6DED"/>
    <w:rsid w:val="007B7984"/>
    <w:rsid w:val="007C084B"/>
    <w:rsid w:val="007C1F19"/>
    <w:rsid w:val="007C3BA2"/>
    <w:rsid w:val="007C3FF4"/>
    <w:rsid w:val="007C46DA"/>
    <w:rsid w:val="007C4809"/>
    <w:rsid w:val="007C4B4D"/>
    <w:rsid w:val="007C5187"/>
    <w:rsid w:val="007C5834"/>
    <w:rsid w:val="007C6BFA"/>
    <w:rsid w:val="007C7193"/>
    <w:rsid w:val="007D0055"/>
    <w:rsid w:val="007D1FD8"/>
    <w:rsid w:val="007D2257"/>
    <w:rsid w:val="007D3FD1"/>
    <w:rsid w:val="007D40CC"/>
    <w:rsid w:val="007D701F"/>
    <w:rsid w:val="007E2195"/>
    <w:rsid w:val="007E38F1"/>
    <w:rsid w:val="007E3CA8"/>
    <w:rsid w:val="007E4642"/>
    <w:rsid w:val="007E4DAD"/>
    <w:rsid w:val="007E5D65"/>
    <w:rsid w:val="007E795B"/>
    <w:rsid w:val="007E7971"/>
    <w:rsid w:val="007F0706"/>
    <w:rsid w:val="007F19A5"/>
    <w:rsid w:val="007F2987"/>
    <w:rsid w:val="007F2A60"/>
    <w:rsid w:val="007F2A65"/>
    <w:rsid w:val="007F2C37"/>
    <w:rsid w:val="007F3288"/>
    <w:rsid w:val="007F382C"/>
    <w:rsid w:val="007F4151"/>
    <w:rsid w:val="007F4180"/>
    <w:rsid w:val="007F493B"/>
    <w:rsid w:val="007F5E17"/>
    <w:rsid w:val="007F6361"/>
    <w:rsid w:val="007F64D8"/>
    <w:rsid w:val="00801B01"/>
    <w:rsid w:val="00801C67"/>
    <w:rsid w:val="00802631"/>
    <w:rsid w:val="00802FC9"/>
    <w:rsid w:val="008037FC"/>
    <w:rsid w:val="008055CD"/>
    <w:rsid w:val="00805895"/>
    <w:rsid w:val="0080594C"/>
    <w:rsid w:val="00806DD3"/>
    <w:rsid w:val="00806FBC"/>
    <w:rsid w:val="00807759"/>
    <w:rsid w:val="00807D25"/>
    <w:rsid w:val="00810C83"/>
    <w:rsid w:val="00812762"/>
    <w:rsid w:val="0081394F"/>
    <w:rsid w:val="00813F24"/>
    <w:rsid w:val="008140A8"/>
    <w:rsid w:val="008157AF"/>
    <w:rsid w:val="00816A7D"/>
    <w:rsid w:val="00816F36"/>
    <w:rsid w:val="008204FC"/>
    <w:rsid w:val="0082437A"/>
    <w:rsid w:val="00826886"/>
    <w:rsid w:val="0082688E"/>
    <w:rsid w:val="00827231"/>
    <w:rsid w:val="00830494"/>
    <w:rsid w:val="00830510"/>
    <w:rsid w:val="008307D6"/>
    <w:rsid w:val="00830E12"/>
    <w:rsid w:val="00831444"/>
    <w:rsid w:val="00831B33"/>
    <w:rsid w:val="008321CA"/>
    <w:rsid w:val="008323F6"/>
    <w:rsid w:val="0083289A"/>
    <w:rsid w:val="008352BB"/>
    <w:rsid w:val="00835FA5"/>
    <w:rsid w:val="0083653D"/>
    <w:rsid w:val="0083667E"/>
    <w:rsid w:val="00836A4D"/>
    <w:rsid w:val="00836B91"/>
    <w:rsid w:val="00836EE6"/>
    <w:rsid w:val="00837591"/>
    <w:rsid w:val="00837C9E"/>
    <w:rsid w:val="008415AD"/>
    <w:rsid w:val="00842F8D"/>
    <w:rsid w:val="0084315E"/>
    <w:rsid w:val="00843E69"/>
    <w:rsid w:val="0084466F"/>
    <w:rsid w:val="00844679"/>
    <w:rsid w:val="00846BF5"/>
    <w:rsid w:val="00847B05"/>
    <w:rsid w:val="00851AF9"/>
    <w:rsid w:val="00851E33"/>
    <w:rsid w:val="00854E2B"/>
    <w:rsid w:val="0085512C"/>
    <w:rsid w:val="00856B73"/>
    <w:rsid w:val="00856F8E"/>
    <w:rsid w:val="0085748E"/>
    <w:rsid w:val="008603A0"/>
    <w:rsid w:val="00860494"/>
    <w:rsid w:val="00860BF9"/>
    <w:rsid w:val="00860C79"/>
    <w:rsid w:val="00860EE9"/>
    <w:rsid w:val="008614C0"/>
    <w:rsid w:val="00861DDD"/>
    <w:rsid w:val="00863239"/>
    <w:rsid w:val="00864957"/>
    <w:rsid w:val="00866337"/>
    <w:rsid w:val="00866F19"/>
    <w:rsid w:val="008675D1"/>
    <w:rsid w:val="00867DC8"/>
    <w:rsid w:val="00870E80"/>
    <w:rsid w:val="00871749"/>
    <w:rsid w:val="00871F1B"/>
    <w:rsid w:val="00872733"/>
    <w:rsid w:val="008735FC"/>
    <w:rsid w:val="00873A02"/>
    <w:rsid w:val="0087426C"/>
    <w:rsid w:val="00874A61"/>
    <w:rsid w:val="0087526D"/>
    <w:rsid w:val="008756C5"/>
    <w:rsid w:val="00880490"/>
    <w:rsid w:val="00880794"/>
    <w:rsid w:val="00883F27"/>
    <w:rsid w:val="00885477"/>
    <w:rsid w:val="00885C84"/>
    <w:rsid w:val="00886361"/>
    <w:rsid w:val="00886FF1"/>
    <w:rsid w:val="00890E62"/>
    <w:rsid w:val="00892354"/>
    <w:rsid w:val="0089253B"/>
    <w:rsid w:val="008928C6"/>
    <w:rsid w:val="00896547"/>
    <w:rsid w:val="008A0071"/>
    <w:rsid w:val="008A0149"/>
    <w:rsid w:val="008A1565"/>
    <w:rsid w:val="008A15A6"/>
    <w:rsid w:val="008A2A44"/>
    <w:rsid w:val="008A3093"/>
    <w:rsid w:val="008A30BE"/>
    <w:rsid w:val="008A3BA4"/>
    <w:rsid w:val="008A6DE8"/>
    <w:rsid w:val="008A7EF7"/>
    <w:rsid w:val="008B0DBB"/>
    <w:rsid w:val="008B145E"/>
    <w:rsid w:val="008B5B27"/>
    <w:rsid w:val="008B5B75"/>
    <w:rsid w:val="008B7457"/>
    <w:rsid w:val="008C071E"/>
    <w:rsid w:val="008C18F9"/>
    <w:rsid w:val="008C1A01"/>
    <w:rsid w:val="008C2161"/>
    <w:rsid w:val="008C3F11"/>
    <w:rsid w:val="008C4640"/>
    <w:rsid w:val="008C46AD"/>
    <w:rsid w:val="008C4E0F"/>
    <w:rsid w:val="008C505C"/>
    <w:rsid w:val="008C6054"/>
    <w:rsid w:val="008C6496"/>
    <w:rsid w:val="008C7254"/>
    <w:rsid w:val="008D0636"/>
    <w:rsid w:val="008D0C8D"/>
    <w:rsid w:val="008D1667"/>
    <w:rsid w:val="008D16A4"/>
    <w:rsid w:val="008D2228"/>
    <w:rsid w:val="008D2C87"/>
    <w:rsid w:val="008D2FB9"/>
    <w:rsid w:val="008D3345"/>
    <w:rsid w:val="008D367D"/>
    <w:rsid w:val="008D4A1C"/>
    <w:rsid w:val="008D5872"/>
    <w:rsid w:val="008D5A37"/>
    <w:rsid w:val="008D6C65"/>
    <w:rsid w:val="008D6C70"/>
    <w:rsid w:val="008D74E3"/>
    <w:rsid w:val="008D7F48"/>
    <w:rsid w:val="008D7F60"/>
    <w:rsid w:val="008E51B6"/>
    <w:rsid w:val="008E5FF7"/>
    <w:rsid w:val="008E6D4E"/>
    <w:rsid w:val="008F0A32"/>
    <w:rsid w:val="008F1DAE"/>
    <w:rsid w:val="008F2759"/>
    <w:rsid w:val="008F3332"/>
    <w:rsid w:val="008F3D21"/>
    <w:rsid w:val="008F5561"/>
    <w:rsid w:val="00900B6C"/>
    <w:rsid w:val="00901B02"/>
    <w:rsid w:val="00903082"/>
    <w:rsid w:val="009033EB"/>
    <w:rsid w:val="0090460A"/>
    <w:rsid w:val="00906210"/>
    <w:rsid w:val="00906C76"/>
    <w:rsid w:val="009101EA"/>
    <w:rsid w:val="009104FA"/>
    <w:rsid w:val="00910921"/>
    <w:rsid w:val="00911677"/>
    <w:rsid w:val="00913075"/>
    <w:rsid w:val="00914189"/>
    <w:rsid w:val="00915582"/>
    <w:rsid w:val="00915E8F"/>
    <w:rsid w:val="0091629D"/>
    <w:rsid w:val="0091696A"/>
    <w:rsid w:val="00923065"/>
    <w:rsid w:val="00925076"/>
    <w:rsid w:val="00925C02"/>
    <w:rsid w:val="00926916"/>
    <w:rsid w:val="00926DBB"/>
    <w:rsid w:val="0092737F"/>
    <w:rsid w:val="0093051C"/>
    <w:rsid w:val="00931DAD"/>
    <w:rsid w:val="0093382A"/>
    <w:rsid w:val="00936145"/>
    <w:rsid w:val="00936BBA"/>
    <w:rsid w:val="00940061"/>
    <w:rsid w:val="009431F2"/>
    <w:rsid w:val="00943587"/>
    <w:rsid w:val="0094410E"/>
    <w:rsid w:val="0094416E"/>
    <w:rsid w:val="00944314"/>
    <w:rsid w:val="009458A3"/>
    <w:rsid w:val="00946304"/>
    <w:rsid w:val="00946B43"/>
    <w:rsid w:val="00946C8A"/>
    <w:rsid w:val="00953DE2"/>
    <w:rsid w:val="00954BB6"/>
    <w:rsid w:val="00955796"/>
    <w:rsid w:val="00957FC5"/>
    <w:rsid w:val="00961B02"/>
    <w:rsid w:val="00962FBA"/>
    <w:rsid w:val="009632D1"/>
    <w:rsid w:val="00963BF8"/>
    <w:rsid w:val="0096484A"/>
    <w:rsid w:val="00967C6C"/>
    <w:rsid w:val="0097230C"/>
    <w:rsid w:val="0097232A"/>
    <w:rsid w:val="009729CD"/>
    <w:rsid w:val="00972A4B"/>
    <w:rsid w:val="009732D0"/>
    <w:rsid w:val="00973396"/>
    <w:rsid w:val="00973CE9"/>
    <w:rsid w:val="0097561C"/>
    <w:rsid w:val="00975702"/>
    <w:rsid w:val="0097590A"/>
    <w:rsid w:val="00975BF9"/>
    <w:rsid w:val="00977814"/>
    <w:rsid w:val="00977AD1"/>
    <w:rsid w:val="00980718"/>
    <w:rsid w:val="00980A67"/>
    <w:rsid w:val="00982145"/>
    <w:rsid w:val="009827BB"/>
    <w:rsid w:val="00984408"/>
    <w:rsid w:val="00985140"/>
    <w:rsid w:val="00985453"/>
    <w:rsid w:val="00985EB9"/>
    <w:rsid w:val="009909FC"/>
    <w:rsid w:val="00990FD8"/>
    <w:rsid w:val="009935F1"/>
    <w:rsid w:val="00993A81"/>
    <w:rsid w:val="009967FA"/>
    <w:rsid w:val="00997AA9"/>
    <w:rsid w:val="00997DE8"/>
    <w:rsid w:val="009A0678"/>
    <w:rsid w:val="009A0B9F"/>
    <w:rsid w:val="009A197A"/>
    <w:rsid w:val="009A2B37"/>
    <w:rsid w:val="009A3651"/>
    <w:rsid w:val="009A36E6"/>
    <w:rsid w:val="009A4DF6"/>
    <w:rsid w:val="009A527D"/>
    <w:rsid w:val="009A6141"/>
    <w:rsid w:val="009A7AF0"/>
    <w:rsid w:val="009B0014"/>
    <w:rsid w:val="009B0607"/>
    <w:rsid w:val="009B393F"/>
    <w:rsid w:val="009B3E7F"/>
    <w:rsid w:val="009B56E9"/>
    <w:rsid w:val="009B5BB7"/>
    <w:rsid w:val="009B6A44"/>
    <w:rsid w:val="009B709C"/>
    <w:rsid w:val="009B7494"/>
    <w:rsid w:val="009B798E"/>
    <w:rsid w:val="009B7D59"/>
    <w:rsid w:val="009C1B09"/>
    <w:rsid w:val="009C1E45"/>
    <w:rsid w:val="009C3045"/>
    <w:rsid w:val="009C463B"/>
    <w:rsid w:val="009C4AE7"/>
    <w:rsid w:val="009C5585"/>
    <w:rsid w:val="009C5615"/>
    <w:rsid w:val="009C5DCF"/>
    <w:rsid w:val="009C64B2"/>
    <w:rsid w:val="009C7A72"/>
    <w:rsid w:val="009C7F56"/>
    <w:rsid w:val="009D0504"/>
    <w:rsid w:val="009D0CB0"/>
    <w:rsid w:val="009D1A36"/>
    <w:rsid w:val="009D1EB4"/>
    <w:rsid w:val="009D5549"/>
    <w:rsid w:val="009D613C"/>
    <w:rsid w:val="009D626E"/>
    <w:rsid w:val="009D6270"/>
    <w:rsid w:val="009D6B31"/>
    <w:rsid w:val="009E08AA"/>
    <w:rsid w:val="009E14DB"/>
    <w:rsid w:val="009E1A4B"/>
    <w:rsid w:val="009E2383"/>
    <w:rsid w:val="009E2397"/>
    <w:rsid w:val="009E34F1"/>
    <w:rsid w:val="009E404D"/>
    <w:rsid w:val="009E4F5C"/>
    <w:rsid w:val="009E506F"/>
    <w:rsid w:val="009E51B5"/>
    <w:rsid w:val="009E5B99"/>
    <w:rsid w:val="009E5EEB"/>
    <w:rsid w:val="009E6FED"/>
    <w:rsid w:val="009F027C"/>
    <w:rsid w:val="009F0696"/>
    <w:rsid w:val="009F1445"/>
    <w:rsid w:val="009F1B70"/>
    <w:rsid w:val="009F1C3B"/>
    <w:rsid w:val="009F3279"/>
    <w:rsid w:val="009F3A69"/>
    <w:rsid w:val="009F429B"/>
    <w:rsid w:val="009F6B65"/>
    <w:rsid w:val="009F6D00"/>
    <w:rsid w:val="00A00FDA"/>
    <w:rsid w:val="00A02EE6"/>
    <w:rsid w:val="00A039C6"/>
    <w:rsid w:val="00A03D87"/>
    <w:rsid w:val="00A0468A"/>
    <w:rsid w:val="00A0598A"/>
    <w:rsid w:val="00A07B42"/>
    <w:rsid w:val="00A10259"/>
    <w:rsid w:val="00A10805"/>
    <w:rsid w:val="00A10E1B"/>
    <w:rsid w:val="00A1147C"/>
    <w:rsid w:val="00A117F9"/>
    <w:rsid w:val="00A12285"/>
    <w:rsid w:val="00A12EE7"/>
    <w:rsid w:val="00A13E28"/>
    <w:rsid w:val="00A14553"/>
    <w:rsid w:val="00A14AE2"/>
    <w:rsid w:val="00A15792"/>
    <w:rsid w:val="00A15AEE"/>
    <w:rsid w:val="00A15D74"/>
    <w:rsid w:val="00A15E4E"/>
    <w:rsid w:val="00A166FD"/>
    <w:rsid w:val="00A17BA7"/>
    <w:rsid w:val="00A2080C"/>
    <w:rsid w:val="00A21665"/>
    <w:rsid w:val="00A22870"/>
    <w:rsid w:val="00A23C6B"/>
    <w:rsid w:val="00A242F1"/>
    <w:rsid w:val="00A24B9D"/>
    <w:rsid w:val="00A251E3"/>
    <w:rsid w:val="00A25A11"/>
    <w:rsid w:val="00A25C13"/>
    <w:rsid w:val="00A25DFF"/>
    <w:rsid w:val="00A264CC"/>
    <w:rsid w:val="00A27650"/>
    <w:rsid w:val="00A276EE"/>
    <w:rsid w:val="00A27A46"/>
    <w:rsid w:val="00A27BA6"/>
    <w:rsid w:val="00A30EDF"/>
    <w:rsid w:val="00A31997"/>
    <w:rsid w:val="00A31A1F"/>
    <w:rsid w:val="00A328F1"/>
    <w:rsid w:val="00A338AF"/>
    <w:rsid w:val="00A35D92"/>
    <w:rsid w:val="00A37427"/>
    <w:rsid w:val="00A37D90"/>
    <w:rsid w:val="00A414F9"/>
    <w:rsid w:val="00A41C6F"/>
    <w:rsid w:val="00A41DD2"/>
    <w:rsid w:val="00A42556"/>
    <w:rsid w:val="00A42E2F"/>
    <w:rsid w:val="00A435C8"/>
    <w:rsid w:val="00A45041"/>
    <w:rsid w:val="00A4510A"/>
    <w:rsid w:val="00A45A45"/>
    <w:rsid w:val="00A45FA3"/>
    <w:rsid w:val="00A47DD8"/>
    <w:rsid w:val="00A52042"/>
    <w:rsid w:val="00A52459"/>
    <w:rsid w:val="00A52745"/>
    <w:rsid w:val="00A529D2"/>
    <w:rsid w:val="00A52DB3"/>
    <w:rsid w:val="00A56226"/>
    <w:rsid w:val="00A57249"/>
    <w:rsid w:val="00A6026D"/>
    <w:rsid w:val="00A60D9D"/>
    <w:rsid w:val="00A61841"/>
    <w:rsid w:val="00A6188F"/>
    <w:rsid w:val="00A6193C"/>
    <w:rsid w:val="00A62B0E"/>
    <w:rsid w:val="00A6470B"/>
    <w:rsid w:val="00A669A4"/>
    <w:rsid w:val="00A66A6D"/>
    <w:rsid w:val="00A6709B"/>
    <w:rsid w:val="00A7132A"/>
    <w:rsid w:val="00A71438"/>
    <w:rsid w:val="00A72C53"/>
    <w:rsid w:val="00A74C83"/>
    <w:rsid w:val="00A74E8C"/>
    <w:rsid w:val="00A75B4A"/>
    <w:rsid w:val="00A802E6"/>
    <w:rsid w:val="00A81836"/>
    <w:rsid w:val="00A81BF6"/>
    <w:rsid w:val="00A82973"/>
    <w:rsid w:val="00A8306F"/>
    <w:rsid w:val="00A8438D"/>
    <w:rsid w:val="00A87C37"/>
    <w:rsid w:val="00A903A3"/>
    <w:rsid w:val="00A935CD"/>
    <w:rsid w:val="00A945A2"/>
    <w:rsid w:val="00A95C80"/>
    <w:rsid w:val="00A97EE8"/>
    <w:rsid w:val="00AA00E6"/>
    <w:rsid w:val="00AA069D"/>
    <w:rsid w:val="00AA0CF8"/>
    <w:rsid w:val="00AA1433"/>
    <w:rsid w:val="00AA1710"/>
    <w:rsid w:val="00AA469A"/>
    <w:rsid w:val="00AA58CE"/>
    <w:rsid w:val="00AA5AAC"/>
    <w:rsid w:val="00AA6063"/>
    <w:rsid w:val="00AA7538"/>
    <w:rsid w:val="00AB0FAF"/>
    <w:rsid w:val="00AB1E72"/>
    <w:rsid w:val="00AB279C"/>
    <w:rsid w:val="00AB4C63"/>
    <w:rsid w:val="00AB4E10"/>
    <w:rsid w:val="00AB77B7"/>
    <w:rsid w:val="00AC2791"/>
    <w:rsid w:val="00AC293B"/>
    <w:rsid w:val="00AC43EB"/>
    <w:rsid w:val="00AC6783"/>
    <w:rsid w:val="00AC6EB7"/>
    <w:rsid w:val="00AC71BF"/>
    <w:rsid w:val="00AD0A8B"/>
    <w:rsid w:val="00AD0BAB"/>
    <w:rsid w:val="00AD3966"/>
    <w:rsid w:val="00AD46AC"/>
    <w:rsid w:val="00AD4F39"/>
    <w:rsid w:val="00AD518B"/>
    <w:rsid w:val="00AD5239"/>
    <w:rsid w:val="00AD6B40"/>
    <w:rsid w:val="00AD6CA9"/>
    <w:rsid w:val="00AD7CC8"/>
    <w:rsid w:val="00AE163E"/>
    <w:rsid w:val="00AE36A5"/>
    <w:rsid w:val="00AE45D5"/>
    <w:rsid w:val="00AE480D"/>
    <w:rsid w:val="00AE4E36"/>
    <w:rsid w:val="00AE56E6"/>
    <w:rsid w:val="00AE660E"/>
    <w:rsid w:val="00AE6E2C"/>
    <w:rsid w:val="00AE7BEB"/>
    <w:rsid w:val="00AE7DA9"/>
    <w:rsid w:val="00AF0936"/>
    <w:rsid w:val="00AF1982"/>
    <w:rsid w:val="00AF2103"/>
    <w:rsid w:val="00AF2243"/>
    <w:rsid w:val="00AF293D"/>
    <w:rsid w:val="00AF2CFD"/>
    <w:rsid w:val="00AF7180"/>
    <w:rsid w:val="00B010AD"/>
    <w:rsid w:val="00B01359"/>
    <w:rsid w:val="00B015C7"/>
    <w:rsid w:val="00B01E15"/>
    <w:rsid w:val="00B01FEB"/>
    <w:rsid w:val="00B032DA"/>
    <w:rsid w:val="00B03A97"/>
    <w:rsid w:val="00B04F69"/>
    <w:rsid w:val="00B05F2A"/>
    <w:rsid w:val="00B06FC9"/>
    <w:rsid w:val="00B07980"/>
    <w:rsid w:val="00B1029C"/>
    <w:rsid w:val="00B10609"/>
    <w:rsid w:val="00B1073D"/>
    <w:rsid w:val="00B11D11"/>
    <w:rsid w:val="00B12103"/>
    <w:rsid w:val="00B12432"/>
    <w:rsid w:val="00B12C53"/>
    <w:rsid w:val="00B1308A"/>
    <w:rsid w:val="00B13D68"/>
    <w:rsid w:val="00B1435D"/>
    <w:rsid w:val="00B14405"/>
    <w:rsid w:val="00B14AEB"/>
    <w:rsid w:val="00B16645"/>
    <w:rsid w:val="00B17850"/>
    <w:rsid w:val="00B2422B"/>
    <w:rsid w:val="00B251AF"/>
    <w:rsid w:val="00B25489"/>
    <w:rsid w:val="00B256A7"/>
    <w:rsid w:val="00B303C5"/>
    <w:rsid w:val="00B306AE"/>
    <w:rsid w:val="00B3152D"/>
    <w:rsid w:val="00B32150"/>
    <w:rsid w:val="00B325C0"/>
    <w:rsid w:val="00B32621"/>
    <w:rsid w:val="00B339BE"/>
    <w:rsid w:val="00B3453B"/>
    <w:rsid w:val="00B35A14"/>
    <w:rsid w:val="00B35FE4"/>
    <w:rsid w:val="00B36645"/>
    <w:rsid w:val="00B36B02"/>
    <w:rsid w:val="00B377B2"/>
    <w:rsid w:val="00B41806"/>
    <w:rsid w:val="00B42772"/>
    <w:rsid w:val="00B44F92"/>
    <w:rsid w:val="00B46B7A"/>
    <w:rsid w:val="00B47314"/>
    <w:rsid w:val="00B52ACE"/>
    <w:rsid w:val="00B534CB"/>
    <w:rsid w:val="00B5367F"/>
    <w:rsid w:val="00B536C3"/>
    <w:rsid w:val="00B53EF1"/>
    <w:rsid w:val="00B54942"/>
    <w:rsid w:val="00B54D20"/>
    <w:rsid w:val="00B5608D"/>
    <w:rsid w:val="00B56440"/>
    <w:rsid w:val="00B57994"/>
    <w:rsid w:val="00B602DC"/>
    <w:rsid w:val="00B607C4"/>
    <w:rsid w:val="00B611BD"/>
    <w:rsid w:val="00B6224D"/>
    <w:rsid w:val="00B626F1"/>
    <w:rsid w:val="00B6497F"/>
    <w:rsid w:val="00B65349"/>
    <w:rsid w:val="00B67BA5"/>
    <w:rsid w:val="00B67DBC"/>
    <w:rsid w:val="00B702D7"/>
    <w:rsid w:val="00B70999"/>
    <w:rsid w:val="00B70E64"/>
    <w:rsid w:val="00B71F3C"/>
    <w:rsid w:val="00B72617"/>
    <w:rsid w:val="00B72CA9"/>
    <w:rsid w:val="00B7617C"/>
    <w:rsid w:val="00B768A1"/>
    <w:rsid w:val="00B76B4F"/>
    <w:rsid w:val="00B76C3A"/>
    <w:rsid w:val="00B77A9A"/>
    <w:rsid w:val="00B77E57"/>
    <w:rsid w:val="00B807EF"/>
    <w:rsid w:val="00B80895"/>
    <w:rsid w:val="00B8137D"/>
    <w:rsid w:val="00B81983"/>
    <w:rsid w:val="00B81CE5"/>
    <w:rsid w:val="00B81F37"/>
    <w:rsid w:val="00B83422"/>
    <w:rsid w:val="00B834EB"/>
    <w:rsid w:val="00B8367D"/>
    <w:rsid w:val="00B8373E"/>
    <w:rsid w:val="00B843B9"/>
    <w:rsid w:val="00B848D0"/>
    <w:rsid w:val="00B850F8"/>
    <w:rsid w:val="00B864AA"/>
    <w:rsid w:val="00B90216"/>
    <w:rsid w:val="00B907CB"/>
    <w:rsid w:val="00B91410"/>
    <w:rsid w:val="00B91ADB"/>
    <w:rsid w:val="00B92209"/>
    <w:rsid w:val="00B92746"/>
    <w:rsid w:val="00B9433D"/>
    <w:rsid w:val="00B9460C"/>
    <w:rsid w:val="00B94975"/>
    <w:rsid w:val="00B959EC"/>
    <w:rsid w:val="00B96FAD"/>
    <w:rsid w:val="00B97699"/>
    <w:rsid w:val="00BA0A79"/>
    <w:rsid w:val="00BA262A"/>
    <w:rsid w:val="00BA38A5"/>
    <w:rsid w:val="00BA4156"/>
    <w:rsid w:val="00BA5056"/>
    <w:rsid w:val="00BA54C3"/>
    <w:rsid w:val="00BA57E6"/>
    <w:rsid w:val="00BA59D9"/>
    <w:rsid w:val="00BA6018"/>
    <w:rsid w:val="00BA6066"/>
    <w:rsid w:val="00BA6AE1"/>
    <w:rsid w:val="00BA71E3"/>
    <w:rsid w:val="00BA775A"/>
    <w:rsid w:val="00BA7ABC"/>
    <w:rsid w:val="00BA7AED"/>
    <w:rsid w:val="00BA7B69"/>
    <w:rsid w:val="00BB00B4"/>
    <w:rsid w:val="00BB011F"/>
    <w:rsid w:val="00BB1486"/>
    <w:rsid w:val="00BB16A1"/>
    <w:rsid w:val="00BB44E7"/>
    <w:rsid w:val="00BB4A1B"/>
    <w:rsid w:val="00BB5CF2"/>
    <w:rsid w:val="00BB6343"/>
    <w:rsid w:val="00BB6A2B"/>
    <w:rsid w:val="00BB6C7F"/>
    <w:rsid w:val="00BC09D2"/>
    <w:rsid w:val="00BC0FBA"/>
    <w:rsid w:val="00BC127B"/>
    <w:rsid w:val="00BC1971"/>
    <w:rsid w:val="00BC2163"/>
    <w:rsid w:val="00BC32A0"/>
    <w:rsid w:val="00BC4F47"/>
    <w:rsid w:val="00BC4FED"/>
    <w:rsid w:val="00BC65D5"/>
    <w:rsid w:val="00BC6806"/>
    <w:rsid w:val="00BC6878"/>
    <w:rsid w:val="00BC7E7C"/>
    <w:rsid w:val="00BD122B"/>
    <w:rsid w:val="00BD2237"/>
    <w:rsid w:val="00BD298F"/>
    <w:rsid w:val="00BD29CF"/>
    <w:rsid w:val="00BD4BA6"/>
    <w:rsid w:val="00BD6CA4"/>
    <w:rsid w:val="00BD73C6"/>
    <w:rsid w:val="00BD747D"/>
    <w:rsid w:val="00BD7763"/>
    <w:rsid w:val="00BE3390"/>
    <w:rsid w:val="00BE3B7C"/>
    <w:rsid w:val="00BE3E5D"/>
    <w:rsid w:val="00BE473A"/>
    <w:rsid w:val="00BE4C87"/>
    <w:rsid w:val="00BE4EFF"/>
    <w:rsid w:val="00BE5CB7"/>
    <w:rsid w:val="00BE5DD1"/>
    <w:rsid w:val="00BE7872"/>
    <w:rsid w:val="00BE7FAE"/>
    <w:rsid w:val="00BF1D54"/>
    <w:rsid w:val="00BF28E7"/>
    <w:rsid w:val="00BF2C82"/>
    <w:rsid w:val="00BF2EBA"/>
    <w:rsid w:val="00BF3D7E"/>
    <w:rsid w:val="00BF44A7"/>
    <w:rsid w:val="00BF4E48"/>
    <w:rsid w:val="00BF562C"/>
    <w:rsid w:val="00BF563D"/>
    <w:rsid w:val="00C0008F"/>
    <w:rsid w:val="00C0287C"/>
    <w:rsid w:val="00C0399F"/>
    <w:rsid w:val="00C0412A"/>
    <w:rsid w:val="00C05364"/>
    <w:rsid w:val="00C053C7"/>
    <w:rsid w:val="00C058DB"/>
    <w:rsid w:val="00C06FB8"/>
    <w:rsid w:val="00C0740E"/>
    <w:rsid w:val="00C075AF"/>
    <w:rsid w:val="00C07772"/>
    <w:rsid w:val="00C10580"/>
    <w:rsid w:val="00C106D3"/>
    <w:rsid w:val="00C117A1"/>
    <w:rsid w:val="00C11F68"/>
    <w:rsid w:val="00C14183"/>
    <w:rsid w:val="00C15420"/>
    <w:rsid w:val="00C1560B"/>
    <w:rsid w:val="00C1638F"/>
    <w:rsid w:val="00C17506"/>
    <w:rsid w:val="00C21B20"/>
    <w:rsid w:val="00C21B5D"/>
    <w:rsid w:val="00C23628"/>
    <w:rsid w:val="00C249C3"/>
    <w:rsid w:val="00C25E93"/>
    <w:rsid w:val="00C30148"/>
    <w:rsid w:val="00C32415"/>
    <w:rsid w:val="00C33C2B"/>
    <w:rsid w:val="00C33C9A"/>
    <w:rsid w:val="00C34744"/>
    <w:rsid w:val="00C347E7"/>
    <w:rsid w:val="00C351E5"/>
    <w:rsid w:val="00C36B2D"/>
    <w:rsid w:val="00C37158"/>
    <w:rsid w:val="00C375DC"/>
    <w:rsid w:val="00C408F1"/>
    <w:rsid w:val="00C41279"/>
    <w:rsid w:val="00C4647B"/>
    <w:rsid w:val="00C46A3F"/>
    <w:rsid w:val="00C533D4"/>
    <w:rsid w:val="00C5487D"/>
    <w:rsid w:val="00C55D4A"/>
    <w:rsid w:val="00C56D43"/>
    <w:rsid w:val="00C57A1F"/>
    <w:rsid w:val="00C57FF8"/>
    <w:rsid w:val="00C61910"/>
    <w:rsid w:val="00C62A53"/>
    <w:rsid w:val="00C63135"/>
    <w:rsid w:val="00C636BE"/>
    <w:rsid w:val="00C63A91"/>
    <w:rsid w:val="00C6413D"/>
    <w:rsid w:val="00C650B5"/>
    <w:rsid w:val="00C65E00"/>
    <w:rsid w:val="00C6724B"/>
    <w:rsid w:val="00C7052F"/>
    <w:rsid w:val="00C708D9"/>
    <w:rsid w:val="00C70957"/>
    <w:rsid w:val="00C70C3C"/>
    <w:rsid w:val="00C71A36"/>
    <w:rsid w:val="00C71A58"/>
    <w:rsid w:val="00C72845"/>
    <w:rsid w:val="00C73F1E"/>
    <w:rsid w:val="00C74012"/>
    <w:rsid w:val="00C75211"/>
    <w:rsid w:val="00C75D1F"/>
    <w:rsid w:val="00C76EFD"/>
    <w:rsid w:val="00C8331D"/>
    <w:rsid w:val="00C83376"/>
    <w:rsid w:val="00C834B1"/>
    <w:rsid w:val="00C83792"/>
    <w:rsid w:val="00C83D69"/>
    <w:rsid w:val="00C84F38"/>
    <w:rsid w:val="00C862F3"/>
    <w:rsid w:val="00C86EF7"/>
    <w:rsid w:val="00C87499"/>
    <w:rsid w:val="00C90092"/>
    <w:rsid w:val="00C90205"/>
    <w:rsid w:val="00C92825"/>
    <w:rsid w:val="00C938B3"/>
    <w:rsid w:val="00C93B04"/>
    <w:rsid w:val="00C93FC7"/>
    <w:rsid w:val="00C94ABD"/>
    <w:rsid w:val="00C95234"/>
    <w:rsid w:val="00C95767"/>
    <w:rsid w:val="00C9791D"/>
    <w:rsid w:val="00C97CBA"/>
    <w:rsid w:val="00CA106D"/>
    <w:rsid w:val="00CA1884"/>
    <w:rsid w:val="00CA5259"/>
    <w:rsid w:val="00CA75B7"/>
    <w:rsid w:val="00CA7E84"/>
    <w:rsid w:val="00CB2D2B"/>
    <w:rsid w:val="00CB31D5"/>
    <w:rsid w:val="00CB3238"/>
    <w:rsid w:val="00CB4778"/>
    <w:rsid w:val="00CB6201"/>
    <w:rsid w:val="00CB7243"/>
    <w:rsid w:val="00CC0BB4"/>
    <w:rsid w:val="00CC0E23"/>
    <w:rsid w:val="00CC204D"/>
    <w:rsid w:val="00CC20F7"/>
    <w:rsid w:val="00CC3238"/>
    <w:rsid w:val="00CC70BE"/>
    <w:rsid w:val="00CD0E29"/>
    <w:rsid w:val="00CD1558"/>
    <w:rsid w:val="00CD201F"/>
    <w:rsid w:val="00CD2DEF"/>
    <w:rsid w:val="00CD3A73"/>
    <w:rsid w:val="00CD3ED0"/>
    <w:rsid w:val="00CD5E15"/>
    <w:rsid w:val="00CD6429"/>
    <w:rsid w:val="00CD6EF0"/>
    <w:rsid w:val="00CE29EF"/>
    <w:rsid w:val="00CE645C"/>
    <w:rsid w:val="00CF1D2A"/>
    <w:rsid w:val="00CF2015"/>
    <w:rsid w:val="00CF2141"/>
    <w:rsid w:val="00CF266C"/>
    <w:rsid w:val="00D019DE"/>
    <w:rsid w:val="00D01B3F"/>
    <w:rsid w:val="00D029B5"/>
    <w:rsid w:val="00D02E65"/>
    <w:rsid w:val="00D0323B"/>
    <w:rsid w:val="00D06255"/>
    <w:rsid w:val="00D066C5"/>
    <w:rsid w:val="00D06DE6"/>
    <w:rsid w:val="00D12967"/>
    <w:rsid w:val="00D12E95"/>
    <w:rsid w:val="00D14B87"/>
    <w:rsid w:val="00D158A6"/>
    <w:rsid w:val="00D1593A"/>
    <w:rsid w:val="00D15B82"/>
    <w:rsid w:val="00D15B83"/>
    <w:rsid w:val="00D165C1"/>
    <w:rsid w:val="00D214DB"/>
    <w:rsid w:val="00D22741"/>
    <w:rsid w:val="00D247F4"/>
    <w:rsid w:val="00D24BD5"/>
    <w:rsid w:val="00D251BC"/>
    <w:rsid w:val="00D25974"/>
    <w:rsid w:val="00D25AA3"/>
    <w:rsid w:val="00D25CA8"/>
    <w:rsid w:val="00D27781"/>
    <w:rsid w:val="00D31521"/>
    <w:rsid w:val="00D31A9B"/>
    <w:rsid w:val="00D32D04"/>
    <w:rsid w:val="00D34621"/>
    <w:rsid w:val="00D346FB"/>
    <w:rsid w:val="00D34CDC"/>
    <w:rsid w:val="00D3594A"/>
    <w:rsid w:val="00D366B6"/>
    <w:rsid w:val="00D428FE"/>
    <w:rsid w:val="00D42C2D"/>
    <w:rsid w:val="00D455AC"/>
    <w:rsid w:val="00D45EEE"/>
    <w:rsid w:val="00D45F1E"/>
    <w:rsid w:val="00D46F4B"/>
    <w:rsid w:val="00D47372"/>
    <w:rsid w:val="00D47F0D"/>
    <w:rsid w:val="00D50884"/>
    <w:rsid w:val="00D51616"/>
    <w:rsid w:val="00D527F7"/>
    <w:rsid w:val="00D53E88"/>
    <w:rsid w:val="00D57EAC"/>
    <w:rsid w:val="00D60368"/>
    <w:rsid w:val="00D6063D"/>
    <w:rsid w:val="00D6113C"/>
    <w:rsid w:val="00D631AF"/>
    <w:rsid w:val="00D63310"/>
    <w:rsid w:val="00D6358C"/>
    <w:rsid w:val="00D641F0"/>
    <w:rsid w:val="00D64FB9"/>
    <w:rsid w:val="00D6537C"/>
    <w:rsid w:val="00D65DAB"/>
    <w:rsid w:val="00D7053C"/>
    <w:rsid w:val="00D71CB4"/>
    <w:rsid w:val="00D72406"/>
    <w:rsid w:val="00D737FB"/>
    <w:rsid w:val="00D75C4D"/>
    <w:rsid w:val="00D75E0A"/>
    <w:rsid w:val="00D76BBC"/>
    <w:rsid w:val="00D77241"/>
    <w:rsid w:val="00D77AC5"/>
    <w:rsid w:val="00D80734"/>
    <w:rsid w:val="00D82016"/>
    <w:rsid w:val="00D8241C"/>
    <w:rsid w:val="00D82770"/>
    <w:rsid w:val="00D84932"/>
    <w:rsid w:val="00D86914"/>
    <w:rsid w:val="00D87FA1"/>
    <w:rsid w:val="00D919D5"/>
    <w:rsid w:val="00D9502F"/>
    <w:rsid w:val="00D95BED"/>
    <w:rsid w:val="00D96F1E"/>
    <w:rsid w:val="00DA0C46"/>
    <w:rsid w:val="00DA157F"/>
    <w:rsid w:val="00DA201D"/>
    <w:rsid w:val="00DA21EE"/>
    <w:rsid w:val="00DA233A"/>
    <w:rsid w:val="00DA24FC"/>
    <w:rsid w:val="00DA3BAA"/>
    <w:rsid w:val="00DA3DBA"/>
    <w:rsid w:val="00DA668F"/>
    <w:rsid w:val="00DA7385"/>
    <w:rsid w:val="00DA74DD"/>
    <w:rsid w:val="00DA794E"/>
    <w:rsid w:val="00DA7C66"/>
    <w:rsid w:val="00DA7F21"/>
    <w:rsid w:val="00DB245B"/>
    <w:rsid w:val="00DB318C"/>
    <w:rsid w:val="00DB3D37"/>
    <w:rsid w:val="00DB4114"/>
    <w:rsid w:val="00DB4871"/>
    <w:rsid w:val="00DB4E87"/>
    <w:rsid w:val="00DB60BF"/>
    <w:rsid w:val="00DB7277"/>
    <w:rsid w:val="00DB7A61"/>
    <w:rsid w:val="00DB7FD3"/>
    <w:rsid w:val="00DC08ED"/>
    <w:rsid w:val="00DC3827"/>
    <w:rsid w:val="00DC537D"/>
    <w:rsid w:val="00DC5BA1"/>
    <w:rsid w:val="00DC61F3"/>
    <w:rsid w:val="00DC73E3"/>
    <w:rsid w:val="00DC7648"/>
    <w:rsid w:val="00DD394C"/>
    <w:rsid w:val="00DD4A96"/>
    <w:rsid w:val="00DD4AEE"/>
    <w:rsid w:val="00DD5971"/>
    <w:rsid w:val="00DD5BBB"/>
    <w:rsid w:val="00DD61A7"/>
    <w:rsid w:val="00DD6934"/>
    <w:rsid w:val="00DD737B"/>
    <w:rsid w:val="00DD7A67"/>
    <w:rsid w:val="00DE014E"/>
    <w:rsid w:val="00DE0B0F"/>
    <w:rsid w:val="00DE1AFF"/>
    <w:rsid w:val="00DE24EF"/>
    <w:rsid w:val="00DE25BA"/>
    <w:rsid w:val="00DE4492"/>
    <w:rsid w:val="00DE515F"/>
    <w:rsid w:val="00DE60C7"/>
    <w:rsid w:val="00DE7E96"/>
    <w:rsid w:val="00DF1217"/>
    <w:rsid w:val="00DF132F"/>
    <w:rsid w:val="00DF2042"/>
    <w:rsid w:val="00DF3956"/>
    <w:rsid w:val="00DF42F3"/>
    <w:rsid w:val="00DF42FD"/>
    <w:rsid w:val="00DF6595"/>
    <w:rsid w:val="00E0298B"/>
    <w:rsid w:val="00E02CF4"/>
    <w:rsid w:val="00E0414E"/>
    <w:rsid w:val="00E046B3"/>
    <w:rsid w:val="00E0576B"/>
    <w:rsid w:val="00E10D86"/>
    <w:rsid w:val="00E124E5"/>
    <w:rsid w:val="00E1258E"/>
    <w:rsid w:val="00E134E6"/>
    <w:rsid w:val="00E139A0"/>
    <w:rsid w:val="00E14C65"/>
    <w:rsid w:val="00E14FF1"/>
    <w:rsid w:val="00E151EC"/>
    <w:rsid w:val="00E15908"/>
    <w:rsid w:val="00E17E20"/>
    <w:rsid w:val="00E226EE"/>
    <w:rsid w:val="00E22A9C"/>
    <w:rsid w:val="00E22D7D"/>
    <w:rsid w:val="00E24027"/>
    <w:rsid w:val="00E2569E"/>
    <w:rsid w:val="00E27A4B"/>
    <w:rsid w:val="00E311A7"/>
    <w:rsid w:val="00E313E3"/>
    <w:rsid w:val="00E31973"/>
    <w:rsid w:val="00E31A61"/>
    <w:rsid w:val="00E3237C"/>
    <w:rsid w:val="00E3304F"/>
    <w:rsid w:val="00E33224"/>
    <w:rsid w:val="00E340B3"/>
    <w:rsid w:val="00E3431A"/>
    <w:rsid w:val="00E3460E"/>
    <w:rsid w:val="00E34643"/>
    <w:rsid w:val="00E35824"/>
    <w:rsid w:val="00E37148"/>
    <w:rsid w:val="00E37C6D"/>
    <w:rsid w:val="00E40741"/>
    <w:rsid w:val="00E409A2"/>
    <w:rsid w:val="00E411D0"/>
    <w:rsid w:val="00E41A00"/>
    <w:rsid w:val="00E42274"/>
    <w:rsid w:val="00E42584"/>
    <w:rsid w:val="00E425A5"/>
    <w:rsid w:val="00E4302F"/>
    <w:rsid w:val="00E44081"/>
    <w:rsid w:val="00E50C75"/>
    <w:rsid w:val="00E52EBE"/>
    <w:rsid w:val="00E55A2A"/>
    <w:rsid w:val="00E56A54"/>
    <w:rsid w:val="00E56EEE"/>
    <w:rsid w:val="00E57348"/>
    <w:rsid w:val="00E57E56"/>
    <w:rsid w:val="00E61BD0"/>
    <w:rsid w:val="00E62564"/>
    <w:rsid w:val="00E62FD4"/>
    <w:rsid w:val="00E63C94"/>
    <w:rsid w:val="00E64C15"/>
    <w:rsid w:val="00E66194"/>
    <w:rsid w:val="00E6648D"/>
    <w:rsid w:val="00E66C48"/>
    <w:rsid w:val="00E67536"/>
    <w:rsid w:val="00E703A2"/>
    <w:rsid w:val="00E714B7"/>
    <w:rsid w:val="00E7238F"/>
    <w:rsid w:val="00E74434"/>
    <w:rsid w:val="00E74DC6"/>
    <w:rsid w:val="00E7514C"/>
    <w:rsid w:val="00E755F5"/>
    <w:rsid w:val="00E806B9"/>
    <w:rsid w:val="00E80F25"/>
    <w:rsid w:val="00E817B2"/>
    <w:rsid w:val="00E83381"/>
    <w:rsid w:val="00E83FB9"/>
    <w:rsid w:val="00E86B14"/>
    <w:rsid w:val="00E907B6"/>
    <w:rsid w:val="00E91E0B"/>
    <w:rsid w:val="00E91ECE"/>
    <w:rsid w:val="00E91FA3"/>
    <w:rsid w:val="00E9278D"/>
    <w:rsid w:val="00E941FC"/>
    <w:rsid w:val="00E94ABB"/>
    <w:rsid w:val="00E94D29"/>
    <w:rsid w:val="00E95151"/>
    <w:rsid w:val="00E96321"/>
    <w:rsid w:val="00E97ACB"/>
    <w:rsid w:val="00EA2A26"/>
    <w:rsid w:val="00EA2E96"/>
    <w:rsid w:val="00EA3A4E"/>
    <w:rsid w:val="00EA3E11"/>
    <w:rsid w:val="00EA41A6"/>
    <w:rsid w:val="00EA4291"/>
    <w:rsid w:val="00EA440F"/>
    <w:rsid w:val="00EA6E17"/>
    <w:rsid w:val="00EA77EC"/>
    <w:rsid w:val="00EB1D91"/>
    <w:rsid w:val="00EB2FA8"/>
    <w:rsid w:val="00EB3C80"/>
    <w:rsid w:val="00EB648C"/>
    <w:rsid w:val="00EB6A27"/>
    <w:rsid w:val="00EB6CF9"/>
    <w:rsid w:val="00EC0109"/>
    <w:rsid w:val="00EC0FC8"/>
    <w:rsid w:val="00EC2D65"/>
    <w:rsid w:val="00EC3346"/>
    <w:rsid w:val="00EC3E86"/>
    <w:rsid w:val="00EC514C"/>
    <w:rsid w:val="00EC5A4E"/>
    <w:rsid w:val="00EC7B9C"/>
    <w:rsid w:val="00ED02F7"/>
    <w:rsid w:val="00ED1673"/>
    <w:rsid w:val="00ED167C"/>
    <w:rsid w:val="00ED2B3E"/>
    <w:rsid w:val="00ED38F2"/>
    <w:rsid w:val="00ED5B76"/>
    <w:rsid w:val="00ED5FA9"/>
    <w:rsid w:val="00ED6D36"/>
    <w:rsid w:val="00ED6FB9"/>
    <w:rsid w:val="00EE03D6"/>
    <w:rsid w:val="00EE1620"/>
    <w:rsid w:val="00EE230A"/>
    <w:rsid w:val="00EE319C"/>
    <w:rsid w:val="00EE3701"/>
    <w:rsid w:val="00EE50A7"/>
    <w:rsid w:val="00EE5DE7"/>
    <w:rsid w:val="00EE60E3"/>
    <w:rsid w:val="00EE66FB"/>
    <w:rsid w:val="00EE779D"/>
    <w:rsid w:val="00EF0FCD"/>
    <w:rsid w:val="00EF1D5D"/>
    <w:rsid w:val="00EF1E4C"/>
    <w:rsid w:val="00EF2893"/>
    <w:rsid w:val="00EF49E4"/>
    <w:rsid w:val="00EF658A"/>
    <w:rsid w:val="00EF7581"/>
    <w:rsid w:val="00F01688"/>
    <w:rsid w:val="00F03AE1"/>
    <w:rsid w:val="00F05F8A"/>
    <w:rsid w:val="00F108CB"/>
    <w:rsid w:val="00F10CFE"/>
    <w:rsid w:val="00F10D8A"/>
    <w:rsid w:val="00F11651"/>
    <w:rsid w:val="00F11D3D"/>
    <w:rsid w:val="00F124A5"/>
    <w:rsid w:val="00F12D0E"/>
    <w:rsid w:val="00F13165"/>
    <w:rsid w:val="00F13800"/>
    <w:rsid w:val="00F13B2C"/>
    <w:rsid w:val="00F15D27"/>
    <w:rsid w:val="00F16EF2"/>
    <w:rsid w:val="00F1758C"/>
    <w:rsid w:val="00F20924"/>
    <w:rsid w:val="00F20D02"/>
    <w:rsid w:val="00F219E8"/>
    <w:rsid w:val="00F22210"/>
    <w:rsid w:val="00F22807"/>
    <w:rsid w:val="00F22C94"/>
    <w:rsid w:val="00F2441A"/>
    <w:rsid w:val="00F25F70"/>
    <w:rsid w:val="00F263FE"/>
    <w:rsid w:val="00F26F98"/>
    <w:rsid w:val="00F2700C"/>
    <w:rsid w:val="00F3028D"/>
    <w:rsid w:val="00F30A10"/>
    <w:rsid w:val="00F30AE1"/>
    <w:rsid w:val="00F328DC"/>
    <w:rsid w:val="00F33BA1"/>
    <w:rsid w:val="00F33DCD"/>
    <w:rsid w:val="00F34567"/>
    <w:rsid w:val="00F34BF1"/>
    <w:rsid w:val="00F3694B"/>
    <w:rsid w:val="00F36964"/>
    <w:rsid w:val="00F36B71"/>
    <w:rsid w:val="00F40F1A"/>
    <w:rsid w:val="00F41063"/>
    <w:rsid w:val="00F4168B"/>
    <w:rsid w:val="00F477EA"/>
    <w:rsid w:val="00F5065C"/>
    <w:rsid w:val="00F5148B"/>
    <w:rsid w:val="00F5445D"/>
    <w:rsid w:val="00F55E86"/>
    <w:rsid w:val="00F56DD9"/>
    <w:rsid w:val="00F57676"/>
    <w:rsid w:val="00F61E41"/>
    <w:rsid w:val="00F634E7"/>
    <w:rsid w:val="00F6425E"/>
    <w:rsid w:val="00F64CCE"/>
    <w:rsid w:val="00F6589C"/>
    <w:rsid w:val="00F67526"/>
    <w:rsid w:val="00F70AE4"/>
    <w:rsid w:val="00F72E10"/>
    <w:rsid w:val="00F741DD"/>
    <w:rsid w:val="00F76A5D"/>
    <w:rsid w:val="00F76AB2"/>
    <w:rsid w:val="00F77400"/>
    <w:rsid w:val="00F77B8A"/>
    <w:rsid w:val="00F81B12"/>
    <w:rsid w:val="00F82343"/>
    <w:rsid w:val="00F826BC"/>
    <w:rsid w:val="00F82B30"/>
    <w:rsid w:val="00F83F6C"/>
    <w:rsid w:val="00F84890"/>
    <w:rsid w:val="00F86582"/>
    <w:rsid w:val="00F87247"/>
    <w:rsid w:val="00F87D20"/>
    <w:rsid w:val="00F909F2"/>
    <w:rsid w:val="00F926E0"/>
    <w:rsid w:val="00F92DD1"/>
    <w:rsid w:val="00F93470"/>
    <w:rsid w:val="00F93E31"/>
    <w:rsid w:val="00F9409E"/>
    <w:rsid w:val="00F96255"/>
    <w:rsid w:val="00F96C75"/>
    <w:rsid w:val="00FA1062"/>
    <w:rsid w:val="00FA71EC"/>
    <w:rsid w:val="00FA7454"/>
    <w:rsid w:val="00FA7D07"/>
    <w:rsid w:val="00FB018F"/>
    <w:rsid w:val="00FB07B6"/>
    <w:rsid w:val="00FB145E"/>
    <w:rsid w:val="00FB37A3"/>
    <w:rsid w:val="00FB53FF"/>
    <w:rsid w:val="00FB5DAA"/>
    <w:rsid w:val="00FB5FEE"/>
    <w:rsid w:val="00FB750E"/>
    <w:rsid w:val="00FB7BBF"/>
    <w:rsid w:val="00FC17B1"/>
    <w:rsid w:val="00FC2549"/>
    <w:rsid w:val="00FC3267"/>
    <w:rsid w:val="00FC404C"/>
    <w:rsid w:val="00FC40F2"/>
    <w:rsid w:val="00FC4A3D"/>
    <w:rsid w:val="00FD0524"/>
    <w:rsid w:val="00FD0761"/>
    <w:rsid w:val="00FD0A68"/>
    <w:rsid w:val="00FD0ADE"/>
    <w:rsid w:val="00FD232C"/>
    <w:rsid w:val="00FD25AC"/>
    <w:rsid w:val="00FD3CD1"/>
    <w:rsid w:val="00FD4F9D"/>
    <w:rsid w:val="00FD5647"/>
    <w:rsid w:val="00FD6C3B"/>
    <w:rsid w:val="00FD7135"/>
    <w:rsid w:val="00FD7F74"/>
    <w:rsid w:val="00FE0B51"/>
    <w:rsid w:val="00FE1D03"/>
    <w:rsid w:val="00FE211F"/>
    <w:rsid w:val="00FE3239"/>
    <w:rsid w:val="00FE3E7D"/>
    <w:rsid w:val="00FE5B66"/>
    <w:rsid w:val="00FE6349"/>
    <w:rsid w:val="00FE6FFA"/>
    <w:rsid w:val="00FF0781"/>
    <w:rsid w:val="00FF0EC8"/>
    <w:rsid w:val="00FF2954"/>
    <w:rsid w:val="00FF2D0F"/>
    <w:rsid w:val="00FF4C85"/>
    <w:rsid w:val="00FF59C7"/>
    <w:rsid w:val="00FF62DA"/>
    <w:rsid w:val="00FF7198"/>
    <w:rsid w:val="00FF763E"/>
    <w:rsid w:val="019E8C87"/>
    <w:rsid w:val="02997951"/>
    <w:rsid w:val="02F7477A"/>
    <w:rsid w:val="0331DBBE"/>
    <w:rsid w:val="0460CBEB"/>
    <w:rsid w:val="0574C7C3"/>
    <w:rsid w:val="05936092"/>
    <w:rsid w:val="07CB5AF6"/>
    <w:rsid w:val="07DEE7C1"/>
    <w:rsid w:val="084B894E"/>
    <w:rsid w:val="09F22C57"/>
    <w:rsid w:val="0A54DEBA"/>
    <w:rsid w:val="0A8FD0E9"/>
    <w:rsid w:val="0AC04F06"/>
    <w:rsid w:val="0B4E3153"/>
    <w:rsid w:val="0B589258"/>
    <w:rsid w:val="0B68710A"/>
    <w:rsid w:val="0D14AEDA"/>
    <w:rsid w:val="0D296391"/>
    <w:rsid w:val="0D521061"/>
    <w:rsid w:val="0E7F3B07"/>
    <w:rsid w:val="1040035A"/>
    <w:rsid w:val="108329E3"/>
    <w:rsid w:val="10FD9195"/>
    <w:rsid w:val="11CBB951"/>
    <w:rsid w:val="12321332"/>
    <w:rsid w:val="12BF99D7"/>
    <w:rsid w:val="13BA6179"/>
    <w:rsid w:val="140EAA5A"/>
    <w:rsid w:val="1483D1DB"/>
    <w:rsid w:val="150F5350"/>
    <w:rsid w:val="15D031F5"/>
    <w:rsid w:val="1605C72C"/>
    <w:rsid w:val="1665E5F2"/>
    <w:rsid w:val="1715D5AC"/>
    <w:rsid w:val="1720BB2A"/>
    <w:rsid w:val="1878086D"/>
    <w:rsid w:val="189A36BC"/>
    <w:rsid w:val="192C2D17"/>
    <w:rsid w:val="1990D442"/>
    <w:rsid w:val="19E2C473"/>
    <w:rsid w:val="1B5E2DFF"/>
    <w:rsid w:val="1BA4B699"/>
    <w:rsid w:val="1CEA244F"/>
    <w:rsid w:val="1D74CCCA"/>
    <w:rsid w:val="1DA7699E"/>
    <w:rsid w:val="1E87EDE9"/>
    <w:rsid w:val="1E983316"/>
    <w:rsid w:val="1F01D685"/>
    <w:rsid w:val="202C4CE5"/>
    <w:rsid w:val="20D32DDA"/>
    <w:rsid w:val="22C9E94A"/>
    <w:rsid w:val="230EE039"/>
    <w:rsid w:val="2387ECDF"/>
    <w:rsid w:val="23931638"/>
    <w:rsid w:val="247D69AC"/>
    <w:rsid w:val="2486F8C2"/>
    <w:rsid w:val="24E1610F"/>
    <w:rsid w:val="2558EBCB"/>
    <w:rsid w:val="26243F22"/>
    <w:rsid w:val="264A8D5F"/>
    <w:rsid w:val="2680FB20"/>
    <w:rsid w:val="26E917D8"/>
    <w:rsid w:val="273224CA"/>
    <w:rsid w:val="27C601D1"/>
    <w:rsid w:val="288BFCF9"/>
    <w:rsid w:val="2A2FEF56"/>
    <w:rsid w:val="2A7934FD"/>
    <w:rsid w:val="2B1124AF"/>
    <w:rsid w:val="2F0AFF75"/>
    <w:rsid w:val="2FBFD4C2"/>
    <w:rsid w:val="2FF294E5"/>
    <w:rsid w:val="30DEC2E8"/>
    <w:rsid w:val="30EE6F94"/>
    <w:rsid w:val="30F19E62"/>
    <w:rsid w:val="3101E3F9"/>
    <w:rsid w:val="3167EBE9"/>
    <w:rsid w:val="32A63571"/>
    <w:rsid w:val="332739AA"/>
    <w:rsid w:val="348950CD"/>
    <w:rsid w:val="34907CE3"/>
    <w:rsid w:val="34AAD3D7"/>
    <w:rsid w:val="355350DD"/>
    <w:rsid w:val="36F11410"/>
    <w:rsid w:val="3712CD7C"/>
    <w:rsid w:val="37516E6F"/>
    <w:rsid w:val="3761AD27"/>
    <w:rsid w:val="384685C8"/>
    <w:rsid w:val="38AE9DDD"/>
    <w:rsid w:val="38F4109D"/>
    <w:rsid w:val="38F68D1C"/>
    <w:rsid w:val="399A734A"/>
    <w:rsid w:val="3A251D27"/>
    <w:rsid w:val="3A53BF82"/>
    <w:rsid w:val="3CB1DE03"/>
    <w:rsid w:val="3CC923C2"/>
    <w:rsid w:val="3D8A2614"/>
    <w:rsid w:val="3F5C1BAD"/>
    <w:rsid w:val="3FABDCE9"/>
    <w:rsid w:val="3FC6542B"/>
    <w:rsid w:val="3FD23353"/>
    <w:rsid w:val="40134682"/>
    <w:rsid w:val="406B59B8"/>
    <w:rsid w:val="408C5091"/>
    <w:rsid w:val="4257FC36"/>
    <w:rsid w:val="428A5AB2"/>
    <w:rsid w:val="4292DF58"/>
    <w:rsid w:val="43BC4F11"/>
    <w:rsid w:val="43E87B75"/>
    <w:rsid w:val="44181495"/>
    <w:rsid w:val="44348DB4"/>
    <w:rsid w:val="4437B29B"/>
    <w:rsid w:val="4455B863"/>
    <w:rsid w:val="44C30175"/>
    <w:rsid w:val="44DEBD7B"/>
    <w:rsid w:val="458FAE27"/>
    <w:rsid w:val="45C593A7"/>
    <w:rsid w:val="463446CA"/>
    <w:rsid w:val="47163F4B"/>
    <w:rsid w:val="47B6EECE"/>
    <w:rsid w:val="482868F3"/>
    <w:rsid w:val="48C73DBA"/>
    <w:rsid w:val="4952BF2F"/>
    <w:rsid w:val="499077A6"/>
    <w:rsid w:val="49D56E95"/>
    <w:rsid w:val="4A21ED68"/>
    <w:rsid w:val="4A7F1A32"/>
    <w:rsid w:val="4ABE92E3"/>
    <w:rsid w:val="4AEE8F90"/>
    <w:rsid w:val="4AF49421"/>
    <w:rsid w:val="4B3C5E86"/>
    <w:rsid w:val="4B41A2F5"/>
    <w:rsid w:val="4CE837AC"/>
    <w:rsid w:val="4CF2A16F"/>
    <w:rsid w:val="4D0BC9CC"/>
    <w:rsid w:val="4D686B21"/>
    <w:rsid w:val="4E61636E"/>
    <w:rsid w:val="4ED21131"/>
    <w:rsid w:val="4F73CF89"/>
    <w:rsid w:val="4FFEDA1D"/>
    <w:rsid w:val="50C6BB09"/>
    <w:rsid w:val="513B7201"/>
    <w:rsid w:val="519B30F8"/>
    <w:rsid w:val="53787DDE"/>
    <w:rsid w:val="53873D56"/>
    <w:rsid w:val="540E2B44"/>
    <w:rsid w:val="54D94797"/>
    <w:rsid w:val="564E3FFB"/>
    <w:rsid w:val="5777DD79"/>
    <w:rsid w:val="57B1721B"/>
    <w:rsid w:val="5803B26A"/>
    <w:rsid w:val="58756E68"/>
    <w:rsid w:val="5A437D8F"/>
    <w:rsid w:val="5A5CA5EC"/>
    <w:rsid w:val="5A811F6B"/>
    <w:rsid w:val="5AB3C32E"/>
    <w:rsid w:val="5B9CABDB"/>
    <w:rsid w:val="5CFCFE60"/>
    <w:rsid w:val="5D44B8AF"/>
    <w:rsid w:val="5D86BB56"/>
    <w:rsid w:val="5F0B503C"/>
    <w:rsid w:val="5F16EEB2"/>
    <w:rsid w:val="5FC90312"/>
    <w:rsid w:val="5FE6B463"/>
    <w:rsid w:val="60498176"/>
    <w:rsid w:val="605F01C8"/>
    <w:rsid w:val="60F060EF"/>
    <w:rsid w:val="61786C2F"/>
    <w:rsid w:val="6267B7D1"/>
    <w:rsid w:val="631FF354"/>
    <w:rsid w:val="6330320C"/>
    <w:rsid w:val="64502540"/>
    <w:rsid w:val="65D5953A"/>
    <w:rsid w:val="66B79505"/>
    <w:rsid w:val="67452FEB"/>
    <w:rsid w:val="681A112C"/>
    <w:rsid w:val="68830939"/>
    <w:rsid w:val="690952BE"/>
    <w:rsid w:val="6968AAF8"/>
    <w:rsid w:val="69B896A3"/>
    <w:rsid w:val="6A782F2C"/>
    <w:rsid w:val="6AB5478A"/>
    <w:rsid w:val="6B67A9FB"/>
    <w:rsid w:val="6BCA66B1"/>
    <w:rsid w:val="6C6BB26F"/>
    <w:rsid w:val="6E53C35A"/>
    <w:rsid w:val="6E8E748D"/>
    <w:rsid w:val="6FAFC4E3"/>
    <w:rsid w:val="6FB0221F"/>
    <w:rsid w:val="703B80C0"/>
    <w:rsid w:val="70D0D063"/>
    <w:rsid w:val="71040026"/>
    <w:rsid w:val="717F33B4"/>
    <w:rsid w:val="71D96BFD"/>
    <w:rsid w:val="72409F61"/>
    <w:rsid w:val="729757FC"/>
    <w:rsid w:val="72A38272"/>
    <w:rsid w:val="72B3B124"/>
    <w:rsid w:val="730C0460"/>
    <w:rsid w:val="742187E4"/>
    <w:rsid w:val="74875B7E"/>
    <w:rsid w:val="74A823AC"/>
    <w:rsid w:val="74D27EF7"/>
    <w:rsid w:val="7518C011"/>
    <w:rsid w:val="7758912E"/>
    <w:rsid w:val="77FD9FA7"/>
    <w:rsid w:val="7A31ACB1"/>
    <w:rsid w:val="7DCEC026"/>
    <w:rsid w:val="7DE1B7D9"/>
    <w:rsid w:val="7DF83CCA"/>
    <w:rsid w:val="7EBFA2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5EC56"/>
  <w15:chartTrackingRefBased/>
  <w15:docId w15:val="{A1BB7D16-92A7-4E92-99DD-4456C53B0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1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0BF"/>
    <w:pPr>
      <w:ind w:left="720"/>
      <w:contextualSpacing/>
    </w:pPr>
  </w:style>
  <w:style w:type="character" w:styleId="CommentReference">
    <w:name w:val="annotation reference"/>
    <w:basedOn w:val="DefaultParagraphFont"/>
    <w:uiPriority w:val="99"/>
    <w:semiHidden/>
    <w:unhideWhenUsed/>
    <w:rsid w:val="00837C9E"/>
    <w:rPr>
      <w:sz w:val="16"/>
      <w:szCs w:val="16"/>
    </w:rPr>
  </w:style>
  <w:style w:type="paragraph" w:styleId="CommentText">
    <w:name w:val="annotation text"/>
    <w:basedOn w:val="Normal"/>
    <w:link w:val="CommentTextChar"/>
    <w:uiPriority w:val="99"/>
    <w:unhideWhenUsed/>
    <w:rsid w:val="00837C9E"/>
    <w:pPr>
      <w:spacing w:line="240" w:lineRule="auto"/>
    </w:pPr>
    <w:rPr>
      <w:sz w:val="20"/>
      <w:szCs w:val="20"/>
    </w:rPr>
  </w:style>
  <w:style w:type="character" w:customStyle="1" w:styleId="CommentTextChar">
    <w:name w:val="Comment Text Char"/>
    <w:basedOn w:val="DefaultParagraphFont"/>
    <w:link w:val="CommentText"/>
    <w:uiPriority w:val="99"/>
    <w:rsid w:val="00837C9E"/>
    <w:rPr>
      <w:sz w:val="20"/>
      <w:szCs w:val="20"/>
    </w:rPr>
  </w:style>
  <w:style w:type="paragraph" w:styleId="CommentSubject">
    <w:name w:val="annotation subject"/>
    <w:basedOn w:val="CommentText"/>
    <w:next w:val="CommentText"/>
    <w:link w:val="CommentSubjectChar"/>
    <w:uiPriority w:val="99"/>
    <w:semiHidden/>
    <w:unhideWhenUsed/>
    <w:rsid w:val="00837C9E"/>
    <w:rPr>
      <w:b/>
      <w:bCs/>
    </w:rPr>
  </w:style>
  <w:style w:type="character" w:customStyle="1" w:styleId="CommentSubjectChar">
    <w:name w:val="Comment Subject Char"/>
    <w:basedOn w:val="CommentTextChar"/>
    <w:link w:val="CommentSubject"/>
    <w:uiPriority w:val="99"/>
    <w:semiHidden/>
    <w:rsid w:val="00837C9E"/>
    <w:rPr>
      <w:b/>
      <w:bCs/>
      <w:sz w:val="20"/>
      <w:szCs w:val="20"/>
    </w:rPr>
  </w:style>
  <w:style w:type="character" w:styleId="UnresolvedMention">
    <w:name w:val="Unresolved Mention"/>
    <w:basedOn w:val="DefaultParagraphFont"/>
    <w:uiPriority w:val="99"/>
    <w:unhideWhenUsed/>
    <w:rsid w:val="00837C9E"/>
    <w:rPr>
      <w:color w:val="605E5C"/>
      <w:shd w:val="clear" w:color="auto" w:fill="E1DFDD"/>
    </w:rPr>
  </w:style>
  <w:style w:type="character" w:styleId="Mention">
    <w:name w:val="Mention"/>
    <w:basedOn w:val="DefaultParagraphFont"/>
    <w:uiPriority w:val="99"/>
    <w:unhideWhenUsed/>
    <w:rsid w:val="00837C9E"/>
    <w:rPr>
      <w:color w:val="2B579A"/>
      <w:shd w:val="clear" w:color="auto" w:fill="E1DFDD"/>
    </w:rPr>
  </w:style>
  <w:style w:type="paragraph" w:styleId="Header">
    <w:name w:val="header"/>
    <w:basedOn w:val="Normal"/>
    <w:link w:val="HeaderChar"/>
    <w:uiPriority w:val="99"/>
    <w:unhideWhenUsed/>
    <w:rsid w:val="00972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32A"/>
  </w:style>
  <w:style w:type="paragraph" w:styleId="Footer">
    <w:name w:val="footer"/>
    <w:basedOn w:val="Normal"/>
    <w:link w:val="FooterChar"/>
    <w:uiPriority w:val="99"/>
    <w:unhideWhenUsed/>
    <w:rsid w:val="00972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32A"/>
  </w:style>
  <w:style w:type="paragraph" w:customStyle="1" w:styleId="Default">
    <w:name w:val="Default"/>
    <w:rsid w:val="00211CD1"/>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75512">
      <w:bodyDiv w:val="1"/>
      <w:marLeft w:val="0"/>
      <w:marRight w:val="0"/>
      <w:marTop w:val="0"/>
      <w:marBottom w:val="0"/>
      <w:divBdr>
        <w:top w:val="none" w:sz="0" w:space="0" w:color="auto"/>
        <w:left w:val="none" w:sz="0" w:space="0" w:color="auto"/>
        <w:bottom w:val="none" w:sz="0" w:space="0" w:color="auto"/>
        <w:right w:val="none" w:sz="0" w:space="0" w:color="auto"/>
      </w:divBdr>
    </w:div>
    <w:div w:id="285432777">
      <w:bodyDiv w:val="1"/>
      <w:marLeft w:val="0"/>
      <w:marRight w:val="0"/>
      <w:marTop w:val="0"/>
      <w:marBottom w:val="0"/>
      <w:divBdr>
        <w:top w:val="none" w:sz="0" w:space="0" w:color="auto"/>
        <w:left w:val="none" w:sz="0" w:space="0" w:color="auto"/>
        <w:bottom w:val="none" w:sz="0" w:space="0" w:color="auto"/>
        <w:right w:val="none" w:sz="0" w:space="0" w:color="auto"/>
      </w:divBdr>
    </w:div>
    <w:div w:id="744112957">
      <w:bodyDiv w:val="1"/>
      <w:marLeft w:val="0"/>
      <w:marRight w:val="0"/>
      <w:marTop w:val="0"/>
      <w:marBottom w:val="0"/>
      <w:divBdr>
        <w:top w:val="none" w:sz="0" w:space="0" w:color="auto"/>
        <w:left w:val="none" w:sz="0" w:space="0" w:color="auto"/>
        <w:bottom w:val="none" w:sz="0" w:space="0" w:color="auto"/>
        <w:right w:val="none" w:sz="0" w:space="0" w:color="auto"/>
      </w:divBdr>
    </w:div>
    <w:div w:id="751972972">
      <w:bodyDiv w:val="1"/>
      <w:marLeft w:val="0"/>
      <w:marRight w:val="0"/>
      <w:marTop w:val="0"/>
      <w:marBottom w:val="0"/>
      <w:divBdr>
        <w:top w:val="none" w:sz="0" w:space="0" w:color="auto"/>
        <w:left w:val="none" w:sz="0" w:space="0" w:color="auto"/>
        <w:bottom w:val="none" w:sz="0" w:space="0" w:color="auto"/>
        <w:right w:val="none" w:sz="0" w:space="0" w:color="auto"/>
      </w:divBdr>
    </w:div>
    <w:div w:id="1133408086">
      <w:bodyDiv w:val="1"/>
      <w:marLeft w:val="0"/>
      <w:marRight w:val="0"/>
      <w:marTop w:val="0"/>
      <w:marBottom w:val="0"/>
      <w:divBdr>
        <w:top w:val="none" w:sz="0" w:space="0" w:color="auto"/>
        <w:left w:val="none" w:sz="0" w:space="0" w:color="auto"/>
        <w:bottom w:val="none" w:sz="0" w:space="0" w:color="auto"/>
        <w:right w:val="none" w:sz="0" w:space="0" w:color="auto"/>
      </w:divBdr>
    </w:div>
    <w:div w:id="199957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7.xml"/><Relationship Id="rId23" Type="http://schemas.microsoft.com/office/2020/10/relationships/intelligence" Target="intelligence2.xm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https://aiicocapital-my.sharepoint.com/personal/itsupport_aiicocapital_com/Documents/Shared%20Drives/Investment/Investment%20Strategy%20Unit/Daily%20reports/Financial%20Markets%20Update/Financial%20Market%20Update%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219816272965874E-2"/>
          <c:y val="0.10185185185185185"/>
          <c:w val="0.87122462817147861"/>
          <c:h val="0.60628025663458729"/>
        </c:manualLayout>
      </c:layout>
      <c:barChart>
        <c:barDir val="col"/>
        <c:grouping val="clustered"/>
        <c:varyColors val="0"/>
        <c:ser>
          <c:idx val="0"/>
          <c:order val="0"/>
          <c:tx>
            <c:strRef>
              <c:f>'mpr and inflation'!$E$2</c:f>
              <c:strCache>
                <c:ptCount val="1"/>
                <c:pt idx="0">
                  <c:v>Headline Inflation</c:v>
                </c:pt>
              </c:strCache>
            </c:strRef>
          </c:tx>
          <c:spPr>
            <a:solidFill>
              <a:srgbClr val="C00000"/>
            </a:solidFill>
            <a:ln>
              <a:noFill/>
            </a:ln>
            <a:effectLst/>
          </c:spPr>
          <c:invertIfNegative val="0"/>
          <c:dLbls>
            <c:dLbl>
              <c:idx val="38"/>
              <c:layout>
                <c:manualLayout>
                  <c:x val="1.0094891984655765E-2"/>
                  <c:y val="3.7037037037036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A6-4965-AA04-85A0D0A0A7D1}"/>
                </c:ext>
              </c:extLst>
            </c:dLbl>
            <c:spPr>
              <a:solidFill>
                <a:srgbClr val="00206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ndara" panose="020E0502030303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'mpr and inflation'!$D$3:$D$41</c:f>
              <c:numCache>
                <c:formatCode>[$-409]mmm\-yy;@</c:formatCode>
                <c:ptCount val="39"/>
                <c:pt idx="0">
                  <c:v>43831</c:v>
                </c:pt>
                <c:pt idx="1">
                  <c:v>43862</c:v>
                </c:pt>
                <c:pt idx="2">
                  <c:v>43893</c:v>
                </c:pt>
                <c:pt idx="3">
                  <c:v>43924</c:v>
                </c:pt>
                <c:pt idx="4">
                  <c:v>43955</c:v>
                </c:pt>
                <c:pt idx="5">
                  <c:v>43986</c:v>
                </c:pt>
                <c:pt idx="6">
                  <c:v>44017</c:v>
                </c:pt>
                <c:pt idx="7">
                  <c:v>44048</c:v>
                </c:pt>
                <c:pt idx="8">
                  <c:v>44079</c:v>
                </c:pt>
                <c:pt idx="9">
                  <c:v>44110</c:v>
                </c:pt>
                <c:pt idx="10">
                  <c:v>44141</c:v>
                </c:pt>
                <c:pt idx="11">
                  <c:v>44172</c:v>
                </c:pt>
                <c:pt idx="12">
                  <c:v>44203</c:v>
                </c:pt>
                <c:pt idx="13">
                  <c:v>44234</c:v>
                </c:pt>
                <c:pt idx="14">
                  <c:v>44265</c:v>
                </c:pt>
                <c:pt idx="15">
                  <c:v>44296</c:v>
                </c:pt>
                <c:pt idx="16">
                  <c:v>44327</c:v>
                </c:pt>
                <c:pt idx="17">
                  <c:v>44358</c:v>
                </c:pt>
                <c:pt idx="18">
                  <c:v>44389</c:v>
                </c:pt>
                <c:pt idx="19">
                  <c:v>44420</c:v>
                </c:pt>
                <c:pt idx="20">
                  <c:v>44451</c:v>
                </c:pt>
                <c:pt idx="21">
                  <c:v>44482</c:v>
                </c:pt>
                <c:pt idx="22">
                  <c:v>44513</c:v>
                </c:pt>
                <c:pt idx="23">
                  <c:v>44544</c:v>
                </c:pt>
                <c:pt idx="24">
                  <c:v>44575</c:v>
                </c:pt>
                <c:pt idx="25">
                  <c:v>44606</c:v>
                </c:pt>
                <c:pt idx="26">
                  <c:v>44637</c:v>
                </c:pt>
                <c:pt idx="27">
                  <c:v>44668</c:v>
                </c:pt>
                <c:pt idx="28">
                  <c:v>44699</c:v>
                </c:pt>
                <c:pt idx="29">
                  <c:v>44730</c:v>
                </c:pt>
                <c:pt idx="30">
                  <c:v>44761</c:v>
                </c:pt>
                <c:pt idx="31">
                  <c:v>44792</c:v>
                </c:pt>
                <c:pt idx="32">
                  <c:v>44823</c:v>
                </c:pt>
                <c:pt idx="33">
                  <c:v>44854</c:v>
                </c:pt>
                <c:pt idx="34">
                  <c:v>44885</c:v>
                </c:pt>
                <c:pt idx="35">
                  <c:v>44916</c:v>
                </c:pt>
                <c:pt idx="36">
                  <c:v>44947</c:v>
                </c:pt>
                <c:pt idx="37">
                  <c:v>44978</c:v>
                </c:pt>
                <c:pt idx="38">
                  <c:v>45009</c:v>
                </c:pt>
              </c:numCache>
            </c:numRef>
          </c:cat>
          <c:val>
            <c:numRef>
              <c:f>'mpr and inflation'!$E$3:$E$41</c:f>
              <c:numCache>
                <c:formatCode>#,##0.00</c:formatCode>
                <c:ptCount val="39"/>
                <c:pt idx="0">
                  <c:v>12.132305771432115</c:v>
                </c:pt>
                <c:pt idx="1">
                  <c:v>12.19853348404591</c:v>
                </c:pt>
                <c:pt idx="2">
                  <c:v>12.257324804486643</c:v>
                </c:pt>
                <c:pt idx="3">
                  <c:v>12.341464926171938</c:v>
                </c:pt>
                <c:pt idx="4">
                  <c:v>12.404248786049223</c:v>
                </c:pt>
                <c:pt idx="5">
                  <c:v>12.558719690353897</c:v>
                </c:pt>
                <c:pt idx="6">
                  <c:v>12.820717513036641</c:v>
                </c:pt>
                <c:pt idx="7">
                  <c:v>13.219513524561435</c:v>
                </c:pt>
                <c:pt idx="8">
                  <c:v>13.70662921174079</c:v>
                </c:pt>
                <c:pt idx="9">
                  <c:v>14.232742743160088</c:v>
                </c:pt>
                <c:pt idx="10">
                  <c:v>14.887260666279346</c:v>
                </c:pt>
                <c:pt idx="11">
                  <c:v>15.753386647855876</c:v>
                </c:pt>
                <c:pt idx="12">
                  <c:v>16.466347283844001</c:v>
                </c:pt>
                <c:pt idx="13">
                  <c:v>17.334896313630409</c:v>
                </c:pt>
                <c:pt idx="14">
                  <c:v>18.171367740526605</c:v>
                </c:pt>
                <c:pt idx="15">
                  <c:v>18.116735352723936</c:v>
                </c:pt>
                <c:pt idx="16">
                  <c:v>17.933081938205618</c:v>
                </c:pt>
                <c:pt idx="17">
                  <c:v>17.750757261900702</c:v>
                </c:pt>
                <c:pt idx="18">
                  <c:v>17.377100345666975</c:v>
                </c:pt>
                <c:pt idx="19">
                  <c:v>17.009126570971006</c:v>
                </c:pt>
                <c:pt idx="20">
                  <c:v>16.629867193111252</c:v>
                </c:pt>
                <c:pt idx="21">
                  <c:v>15.993579823096965</c:v>
                </c:pt>
                <c:pt idx="22">
                  <c:v>15.395701999751154</c:v>
                </c:pt>
                <c:pt idx="23">
                  <c:v>15.625488850575337</c:v>
                </c:pt>
                <c:pt idx="24">
                  <c:v>15.600544539448819</c:v>
                </c:pt>
                <c:pt idx="25">
                  <c:v>15.702445752010718</c:v>
                </c:pt>
                <c:pt idx="26">
                  <c:v>15.915153179219942</c:v>
                </c:pt>
                <c:pt idx="27">
                  <c:v>16.818812338203998</c:v>
                </c:pt>
                <c:pt idx="28">
                  <c:v>17.711799316172616</c:v>
                </c:pt>
                <c:pt idx="29">
                  <c:v>18.595615795951687</c:v>
                </c:pt>
                <c:pt idx="30">
                  <c:v>19.643020205754411</c:v>
                </c:pt>
                <c:pt idx="31">
                  <c:v>20.524841985639171</c:v>
                </c:pt>
                <c:pt idx="32">
                  <c:v>20.773688214052768</c:v>
                </c:pt>
                <c:pt idx="33">
                  <c:v>21.08711512434445</c:v>
                </c:pt>
                <c:pt idx="34">
                  <c:v>21.465638966992799</c:v>
                </c:pt>
                <c:pt idx="35">
                  <c:v>21.34379451911694</c:v>
                </c:pt>
                <c:pt idx="36">
                  <c:v>21.816324933850566</c:v>
                </c:pt>
                <c:pt idx="37">
                  <c:v>21.909733496709393</c:v>
                </c:pt>
                <c:pt idx="38">
                  <c:v>22.04</c:v>
                </c:pt>
              </c:numCache>
            </c:numRef>
          </c:val>
          <c:extLst>
            <c:ext xmlns:c16="http://schemas.microsoft.com/office/drawing/2014/chart" uri="{C3380CC4-5D6E-409C-BE32-E72D297353CC}">
              <c16:uniqueId val="{00000000-7625-417B-8914-DA31F97931D0}"/>
            </c:ext>
          </c:extLst>
        </c:ser>
        <c:dLbls>
          <c:showLegendKey val="0"/>
          <c:showVal val="0"/>
          <c:showCatName val="0"/>
          <c:showSerName val="0"/>
          <c:showPercent val="0"/>
          <c:showBubbleSize val="0"/>
        </c:dLbls>
        <c:gapWidth val="150"/>
        <c:axId val="63533952"/>
        <c:axId val="165763760"/>
      </c:barChart>
      <c:lineChart>
        <c:grouping val="standard"/>
        <c:varyColors val="0"/>
        <c:ser>
          <c:idx val="1"/>
          <c:order val="1"/>
          <c:tx>
            <c:strRef>
              <c:f>'mpr and inflation'!$F$2</c:f>
              <c:strCache>
                <c:ptCount val="1"/>
                <c:pt idx="0">
                  <c:v>Core Inflation</c:v>
                </c:pt>
              </c:strCache>
            </c:strRef>
          </c:tx>
          <c:spPr>
            <a:ln w="28575" cap="rnd">
              <a:solidFill>
                <a:srgbClr val="00B050"/>
              </a:solidFill>
              <a:round/>
            </a:ln>
            <a:effectLst/>
          </c:spPr>
          <c:marker>
            <c:symbol val="none"/>
          </c:marker>
          <c:dLbls>
            <c:dLbl>
              <c:idx val="38"/>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A6-4965-AA04-85A0D0A0A7D1}"/>
                </c:ext>
              </c:extLst>
            </c:dLbl>
            <c:spPr>
              <a:solidFill>
                <a:srgbClr val="00206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ndara" panose="020E0502030303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'mpr and inflation'!$D$3:$D$41</c:f>
              <c:numCache>
                <c:formatCode>[$-409]mmm\-yy;@</c:formatCode>
                <c:ptCount val="39"/>
                <c:pt idx="0">
                  <c:v>43831</c:v>
                </c:pt>
                <c:pt idx="1">
                  <c:v>43862</c:v>
                </c:pt>
                <c:pt idx="2">
                  <c:v>43893</c:v>
                </c:pt>
                <c:pt idx="3">
                  <c:v>43924</c:v>
                </c:pt>
                <c:pt idx="4">
                  <c:v>43955</c:v>
                </c:pt>
                <c:pt idx="5">
                  <c:v>43986</c:v>
                </c:pt>
                <c:pt idx="6">
                  <c:v>44017</c:v>
                </c:pt>
                <c:pt idx="7">
                  <c:v>44048</c:v>
                </c:pt>
                <c:pt idx="8">
                  <c:v>44079</c:v>
                </c:pt>
                <c:pt idx="9">
                  <c:v>44110</c:v>
                </c:pt>
                <c:pt idx="10">
                  <c:v>44141</c:v>
                </c:pt>
                <c:pt idx="11">
                  <c:v>44172</c:v>
                </c:pt>
                <c:pt idx="12">
                  <c:v>44203</c:v>
                </c:pt>
                <c:pt idx="13">
                  <c:v>44234</c:v>
                </c:pt>
                <c:pt idx="14">
                  <c:v>44265</c:v>
                </c:pt>
                <c:pt idx="15">
                  <c:v>44296</c:v>
                </c:pt>
                <c:pt idx="16">
                  <c:v>44327</c:v>
                </c:pt>
                <c:pt idx="17">
                  <c:v>44358</c:v>
                </c:pt>
                <c:pt idx="18">
                  <c:v>44389</c:v>
                </c:pt>
                <c:pt idx="19">
                  <c:v>44420</c:v>
                </c:pt>
                <c:pt idx="20">
                  <c:v>44451</c:v>
                </c:pt>
                <c:pt idx="21">
                  <c:v>44482</c:v>
                </c:pt>
                <c:pt idx="22">
                  <c:v>44513</c:v>
                </c:pt>
                <c:pt idx="23">
                  <c:v>44544</c:v>
                </c:pt>
                <c:pt idx="24">
                  <c:v>44575</c:v>
                </c:pt>
                <c:pt idx="25">
                  <c:v>44606</c:v>
                </c:pt>
                <c:pt idx="26">
                  <c:v>44637</c:v>
                </c:pt>
                <c:pt idx="27">
                  <c:v>44668</c:v>
                </c:pt>
                <c:pt idx="28">
                  <c:v>44699</c:v>
                </c:pt>
                <c:pt idx="29">
                  <c:v>44730</c:v>
                </c:pt>
                <c:pt idx="30">
                  <c:v>44761</c:v>
                </c:pt>
                <c:pt idx="31">
                  <c:v>44792</c:v>
                </c:pt>
                <c:pt idx="32">
                  <c:v>44823</c:v>
                </c:pt>
                <c:pt idx="33">
                  <c:v>44854</c:v>
                </c:pt>
                <c:pt idx="34">
                  <c:v>44885</c:v>
                </c:pt>
                <c:pt idx="35">
                  <c:v>44916</c:v>
                </c:pt>
                <c:pt idx="36">
                  <c:v>44947</c:v>
                </c:pt>
                <c:pt idx="37">
                  <c:v>44978</c:v>
                </c:pt>
                <c:pt idx="38">
                  <c:v>45009</c:v>
                </c:pt>
              </c:numCache>
            </c:numRef>
          </c:cat>
          <c:val>
            <c:numRef>
              <c:f>'mpr and inflation'!$F$3:$F$41</c:f>
              <c:numCache>
                <c:formatCode>#,##0.00</c:formatCode>
                <c:ptCount val="39"/>
                <c:pt idx="0">
                  <c:v>9.3487922705314048</c:v>
                </c:pt>
                <c:pt idx="1">
                  <c:v>9.4340347104899394</c:v>
                </c:pt>
                <c:pt idx="2">
                  <c:v>9.7318768619662421</c:v>
                </c:pt>
                <c:pt idx="3">
                  <c:v>9.9791390100512132</c:v>
                </c:pt>
                <c:pt idx="4">
                  <c:v>10.119719900609894</c:v>
                </c:pt>
                <c:pt idx="5">
                  <c:v>10.127669105569652</c:v>
                </c:pt>
                <c:pt idx="6">
                  <c:v>10.101870716799425</c:v>
                </c:pt>
                <c:pt idx="7">
                  <c:v>10.520699172033105</c:v>
                </c:pt>
                <c:pt idx="8">
                  <c:v>10.581412313977239</c:v>
                </c:pt>
                <c:pt idx="9">
                  <c:v>11.137260581483758</c:v>
                </c:pt>
                <c:pt idx="10">
                  <c:v>11.049644371003666</c:v>
                </c:pt>
                <c:pt idx="11">
                  <c:v>11.374407582938389</c:v>
                </c:pt>
                <c:pt idx="12">
                  <c:v>11.854103343465056</c:v>
                </c:pt>
                <c:pt idx="13">
                  <c:v>12.382021683449707</c:v>
                </c:pt>
                <c:pt idx="14">
                  <c:v>12.673163940132241</c:v>
                </c:pt>
                <c:pt idx="15">
                  <c:v>12.743136984411649</c:v>
                </c:pt>
                <c:pt idx="16">
                  <c:v>13.145299145299134</c:v>
                </c:pt>
                <c:pt idx="17">
                  <c:v>13.094471373851732</c:v>
                </c:pt>
                <c:pt idx="18">
                  <c:v>13.720476414776911</c:v>
                </c:pt>
                <c:pt idx="19">
                  <c:v>13.40813744422988</c:v>
                </c:pt>
                <c:pt idx="20">
                  <c:v>13.744763663950891</c:v>
                </c:pt>
                <c:pt idx="21">
                  <c:v>13.239941358527446</c:v>
                </c:pt>
                <c:pt idx="22">
                  <c:v>13.85132949472731</c:v>
                </c:pt>
                <c:pt idx="23">
                  <c:v>13.872980323148298</c:v>
                </c:pt>
                <c:pt idx="24">
                  <c:v>13.868655042681951</c:v>
                </c:pt>
                <c:pt idx="25">
                  <c:v>14.011194723384122</c:v>
                </c:pt>
                <c:pt idx="26">
                  <c:v>13.914012488372236</c:v>
                </c:pt>
                <c:pt idx="27">
                  <c:v>14.177568482024498</c:v>
                </c:pt>
                <c:pt idx="28">
                  <c:v>14.896853425004224</c:v>
                </c:pt>
                <c:pt idx="29">
                  <c:v>15.746593006139364</c:v>
                </c:pt>
                <c:pt idx="30">
                  <c:v>16.25757528177347</c:v>
                </c:pt>
                <c:pt idx="31">
                  <c:v>17.199760735252042</c:v>
                </c:pt>
                <c:pt idx="32">
                  <c:v>17.60091498258835</c:v>
                </c:pt>
                <c:pt idx="33">
                  <c:v>17.758721128137765</c:v>
                </c:pt>
                <c:pt idx="34">
                  <c:v>18.243893533943776</c:v>
                </c:pt>
                <c:pt idx="35">
                  <c:v>18.491855291269516</c:v>
                </c:pt>
                <c:pt idx="36">
                  <c:v>19.156150599223935</c:v>
                </c:pt>
                <c:pt idx="37">
                  <c:v>18.839599748341129</c:v>
                </c:pt>
                <c:pt idx="38">
                  <c:v>19.86</c:v>
                </c:pt>
              </c:numCache>
            </c:numRef>
          </c:val>
          <c:smooth val="1"/>
          <c:extLst>
            <c:ext xmlns:c16="http://schemas.microsoft.com/office/drawing/2014/chart" uri="{C3380CC4-5D6E-409C-BE32-E72D297353CC}">
              <c16:uniqueId val="{00000001-7625-417B-8914-DA31F97931D0}"/>
            </c:ext>
          </c:extLst>
        </c:ser>
        <c:ser>
          <c:idx val="2"/>
          <c:order val="2"/>
          <c:tx>
            <c:strRef>
              <c:f>'mpr and inflation'!$G$2</c:f>
              <c:strCache>
                <c:ptCount val="1"/>
                <c:pt idx="0">
                  <c:v>Food Inflation</c:v>
                </c:pt>
              </c:strCache>
            </c:strRef>
          </c:tx>
          <c:spPr>
            <a:ln w="28575" cap="rnd">
              <a:solidFill>
                <a:srgbClr val="002060"/>
              </a:solidFill>
              <a:round/>
            </a:ln>
            <a:effectLst/>
          </c:spPr>
          <c:marker>
            <c:symbol val="none"/>
          </c:marker>
          <c:dLbls>
            <c:dLbl>
              <c:idx val="38"/>
              <c:layout>
                <c:manualLayout>
                  <c:x val="-1.4805670541125613E-16"/>
                  <c:y val="-2.7777777777777801E-2"/>
                </c:manualLayout>
              </c:layout>
              <c:spPr>
                <a:solidFill>
                  <a:srgbClr val="00206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ndara" panose="020E0502030303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A6-4965-AA04-85A0D0A0A7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Candara" panose="020E0502030303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'mpr and inflation'!$D$3:$D$41</c:f>
              <c:numCache>
                <c:formatCode>[$-409]mmm\-yy;@</c:formatCode>
                <c:ptCount val="39"/>
                <c:pt idx="0">
                  <c:v>43831</c:v>
                </c:pt>
                <c:pt idx="1">
                  <c:v>43862</c:v>
                </c:pt>
                <c:pt idx="2">
                  <c:v>43893</c:v>
                </c:pt>
                <c:pt idx="3">
                  <c:v>43924</c:v>
                </c:pt>
                <c:pt idx="4">
                  <c:v>43955</c:v>
                </c:pt>
                <c:pt idx="5">
                  <c:v>43986</c:v>
                </c:pt>
                <c:pt idx="6">
                  <c:v>44017</c:v>
                </c:pt>
                <c:pt idx="7">
                  <c:v>44048</c:v>
                </c:pt>
                <c:pt idx="8">
                  <c:v>44079</c:v>
                </c:pt>
                <c:pt idx="9">
                  <c:v>44110</c:v>
                </c:pt>
                <c:pt idx="10">
                  <c:v>44141</c:v>
                </c:pt>
                <c:pt idx="11">
                  <c:v>44172</c:v>
                </c:pt>
                <c:pt idx="12">
                  <c:v>44203</c:v>
                </c:pt>
                <c:pt idx="13">
                  <c:v>44234</c:v>
                </c:pt>
                <c:pt idx="14">
                  <c:v>44265</c:v>
                </c:pt>
                <c:pt idx="15">
                  <c:v>44296</c:v>
                </c:pt>
                <c:pt idx="16">
                  <c:v>44327</c:v>
                </c:pt>
                <c:pt idx="17">
                  <c:v>44358</c:v>
                </c:pt>
                <c:pt idx="18">
                  <c:v>44389</c:v>
                </c:pt>
                <c:pt idx="19">
                  <c:v>44420</c:v>
                </c:pt>
                <c:pt idx="20">
                  <c:v>44451</c:v>
                </c:pt>
                <c:pt idx="21">
                  <c:v>44482</c:v>
                </c:pt>
                <c:pt idx="22">
                  <c:v>44513</c:v>
                </c:pt>
                <c:pt idx="23">
                  <c:v>44544</c:v>
                </c:pt>
                <c:pt idx="24">
                  <c:v>44575</c:v>
                </c:pt>
                <c:pt idx="25">
                  <c:v>44606</c:v>
                </c:pt>
                <c:pt idx="26">
                  <c:v>44637</c:v>
                </c:pt>
                <c:pt idx="27">
                  <c:v>44668</c:v>
                </c:pt>
                <c:pt idx="28">
                  <c:v>44699</c:v>
                </c:pt>
                <c:pt idx="29">
                  <c:v>44730</c:v>
                </c:pt>
                <c:pt idx="30">
                  <c:v>44761</c:v>
                </c:pt>
                <c:pt idx="31">
                  <c:v>44792</c:v>
                </c:pt>
                <c:pt idx="32">
                  <c:v>44823</c:v>
                </c:pt>
                <c:pt idx="33">
                  <c:v>44854</c:v>
                </c:pt>
                <c:pt idx="34">
                  <c:v>44885</c:v>
                </c:pt>
                <c:pt idx="35">
                  <c:v>44916</c:v>
                </c:pt>
                <c:pt idx="36">
                  <c:v>44947</c:v>
                </c:pt>
                <c:pt idx="37">
                  <c:v>44978</c:v>
                </c:pt>
                <c:pt idx="38">
                  <c:v>45009</c:v>
                </c:pt>
              </c:numCache>
            </c:numRef>
          </c:cat>
          <c:val>
            <c:numRef>
              <c:f>'mpr and inflation'!$G$3:$G$41</c:f>
              <c:numCache>
                <c:formatCode>#,##0.00</c:formatCode>
                <c:ptCount val="39"/>
                <c:pt idx="0">
                  <c:v>14.849349036278994</c:v>
                </c:pt>
                <c:pt idx="1">
                  <c:v>14.904420099117416</c:v>
                </c:pt>
                <c:pt idx="2">
                  <c:v>14.976650030605725</c:v>
                </c:pt>
                <c:pt idx="3">
                  <c:v>15.026437709851876</c:v>
                </c:pt>
                <c:pt idx="4">
                  <c:v>15.035573724782637</c:v>
                </c:pt>
                <c:pt idx="5">
                  <c:v>15.175363968087936</c:v>
                </c:pt>
                <c:pt idx="6">
                  <c:v>15.481767775284666</c:v>
                </c:pt>
                <c:pt idx="7">
                  <c:v>15.996312790188426</c:v>
                </c:pt>
                <c:pt idx="8">
                  <c:v>16.660302214310633</c:v>
                </c:pt>
                <c:pt idx="9">
                  <c:v>17.378351588851459</c:v>
                </c:pt>
                <c:pt idx="10">
                  <c:v>18.298204641396282</c:v>
                </c:pt>
                <c:pt idx="11">
                  <c:v>19.562466032581426</c:v>
                </c:pt>
                <c:pt idx="12">
                  <c:v>20.566612266208125</c:v>
                </c:pt>
                <c:pt idx="13">
                  <c:v>21.785772023332513</c:v>
                </c:pt>
                <c:pt idx="14">
                  <c:v>22.947951779766356</c:v>
                </c:pt>
                <c:pt idx="15">
                  <c:v>22.718613056893574</c:v>
                </c:pt>
                <c:pt idx="16">
                  <c:v>22.277325007562283</c:v>
                </c:pt>
                <c:pt idx="17">
                  <c:v>21.828754589366682</c:v>
                </c:pt>
                <c:pt idx="18">
                  <c:v>21.031755328004792</c:v>
                </c:pt>
                <c:pt idx="19">
                  <c:v>20.302826186546113</c:v>
                </c:pt>
                <c:pt idx="20">
                  <c:v>19.566109225110125</c:v>
                </c:pt>
                <c:pt idx="21">
                  <c:v>18.337721571413653</c:v>
                </c:pt>
                <c:pt idx="22">
                  <c:v>17.208500081750145</c:v>
                </c:pt>
                <c:pt idx="23">
                  <c:v>17.370325789534121</c:v>
                </c:pt>
                <c:pt idx="24">
                  <c:v>17.125985642913662</c:v>
                </c:pt>
                <c:pt idx="25">
                  <c:v>17.11012464695068</c:v>
                </c:pt>
                <c:pt idx="26">
                  <c:v>17.203147317945849</c:v>
                </c:pt>
                <c:pt idx="27">
                  <c:v>18.370922346199791</c:v>
                </c:pt>
                <c:pt idx="28">
                  <c:v>19.496072551916782</c:v>
                </c:pt>
                <c:pt idx="29">
                  <c:v>20.602968814504237</c:v>
                </c:pt>
                <c:pt idx="30">
                  <c:v>22.01681552149131</c:v>
                </c:pt>
                <c:pt idx="31">
                  <c:v>23.1208249581736</c:v>
                </c:pt>
                <c:pt idx="32">
                  <c:v>23.336023802718969</c:v>
                </c:pt>
                <c:pt idx="33">
                  <c:v>23.723494072442833</c:v>
                </c:pt>
                <c:pt idx="34">
                  <c:v>24.125450863926432</c:v>
                </c:pt>
                <c:pt idx="35">
                  <c:v>23.75371556955092</c:v>
                </c:pt>
                <c:pt idx="36">
                  <c:v>24.31569374987366</c:v>
                </c:pt>
                <c:pt idx="37">
                  <c:v>24.352475499970083</c:v>
                </c:pt>
                <c:pt idx="38">
                  <c:v>24.45</c:v>
                </c:pt>
              </c:numCache>
            </c:numRef>
          </c:val>
          <c:smooth val="1"/>
          <c:extLst>
            <c:ext xmlns:c16="http://schemas.microsoft.com/office/drawing/2014/chart" uri="{C3380CC4-5D6E-409C-BE32-E72D297353CC}">
              <c16:uniqueId val="{00000002-7625-417B-8914-DA31F97931D0}"/>
            </c:ext>
          </c:extLst>
        </c:ser>
        <c:dLbls>
          <c:showLegendKey val="0"/>
          <c:showVal val="0"/>
          <c:showCatName val="0"/>
          <c:showSerName val="0"/>
          <c:showPercent val="0"/>
          <c:showBubbleSize val="0"/>
        </c:dLbls>
        <c:marker val="1"/>
        <c:smooth val="0"/>
        <c:axId val="63533952"/>
        <c:axId val="165763760"/>
        <c:extLst>
          <c:ext xmlns:c15="http://schemas.microsoft.com/office/drawing/2012/chart" uri="{02D57815-91ED-43cb-92C2-25804820EDAC}">
            <c15:filteredLineSeries>
              <c15:ser>
                <c:idx val="3"/>
                <c:order val="3"/>
                <c:tx>
                  <c:strRef>
                    <c:extLst>
                      <c:ext uri="{02D57815-91ED-43cb-92C2-25804820EDAC}">
                        <c15:formulaRef>
                          <c15:sqref>'mpr and inflation'!$H$2</c15:sqref>
                        </c15:formulaRef>
                      </c:ext>
                    </c:extLst>
                    <c:strCache>
                      <c:ptCount val="1"/>
                      <c:pt idx="0">
                        <c:v>MPR</c:v>
                      </c:pt>
                    </c:strCache>
                  </c:strRef>
                </c:tx>
                <c:spPr>
                  <a:ln w="28575" cap="rnd">
                    <a:solidFill>
                      <a:schemeClr val="accent4"/>
                    </a:solidFill>
                    <a:round/>
                  </a:ln>
                  <a:effectLst/>
                </c:spPr>
                <c:marker>
                  <c:symbol val="none"/>
                </c:marker>
                <c:cat>
                  <c:numRef>
                    <c:extLst>
                      <c:ext uri="{02D57815-91ED-43cb-92C2-25804820EDAC}">
                        <c15:formulaRef>
                          <c15:sqref>'mpr and inflation'!$D$3:$D$41</c15:sqref>
                        </c15:formulaRef>
                      </c:ext>
                    </c:extLst>
                    <c:numCache>
                      <c:formatCode>[$-409]mmm\-yy;@</c:formatCode>
                      <c:ptCount val="39"/>
                      <c:pt idx="0">
                        <c:v>43831</c:v>
                      </c:pt>
                      <c:pt idx="1">
                        <c:v>43862</c:v>
                      </c:pt>
                      <c:pt idx="2">
                        <c:v>43893</c:v>
                      </c:pt>
                      <c:pt idx="3">
                        <c:v>43924</c:v>
                      </c:pt>
                      <c:pt idx="4">
                        <c:v>43955</c:v>
                      </c:pt>
                      <c:pt idx="5">
                        <c:v>43986</c:v>
                      </c:pt>
                      <c:pt idx="6">
                        <c:v>44017</c:v>
                      </c:pt>
                      <c:pt idx="7">
                        <c:v>44048</c:v>
                      </c:pt>
                      <c:pt idx="8">
                        <c:v>44079</c:v>
                      </c:pt>
                      <c:pt idx="9">
                        <c:v>44110</c:v>
                      </c:pt>
                      <c:pt idx="10">
                        <c:v>44141</c:v>
                      </c:pt>
                      <c:pt idx="11">
                        <c:v>44172</c:v>
                      </c:pt>
                      <c:pt idx="12">
                        <c:v>44203</c:v>
                      </c:pt>
                      <c:pt idx="13">
                        <c:v>44234</c:v>
                      </c:pt>
                      <c:pt idx="14">
                        <c:v>44265</c:v>
                      </c:pt>
                      <c:pt idx="15">
                        <c:v>44296</c:v>
                      </c:pt>
                      <c:pt idx="16">
                        <c:v>44327</c:v>
                      </c:pt>
                      <c:pt idx="17">
                        <c:v>44358</c:v>
                      </c:pt>
                      <c:pt idx="18">
                        <c:v>44389</c:v>
                      </c:pt>
                      <c:pt idx="19">
                        <c:v>44420</c:v>
                      </c:pt>
                      <c:pt idx="20">
                        <c:v>44451</c:v>
                      </c:pt>
                      <c:pt idx="21">
                        <c:v>44482</c:v>
                      </c:pt>
                      <c:pt idx="22">
                        <c:v>44513</c:v>
                      </c:pt>
                      <c:pt idx="23">
                        <c:v>44544</c:v>
                      </c:pt>
                      <c:pt idx="24">
                        <c:v>44575</c:v>
                      </c:pt>
                      <c:pt idx="25">
                        <c:v>44606</c:v>
                      </c:pt>
                      <c:pt idx="26">
                        <c:v>44637</c:v>
                      </c:pt>
                      <c:pt idx="27">
                        <c:v>44668</c:v>
                      </c:pt>
                      <c:pt idx="28">
                        <c:v>44699</c:v>
                      </c:pt>
                      <c:pt idx="29">
                        <c:v>44730</c:v>
                      </c:pt>
                      <c:pt idx="30">
                        <c:v>44761</c:v>
                      </c:pt>
                      <c:pt idx="31">
                        <c:v>44792</c:v>
                      </c:pt>
                      <c:pt idx="32">
                        <c:v>44823</c:v>
                      </c:pt>
                      <c:pt idx="33">
                        <c:v>44854</c:v>
                      </c:pt>
                      <c:pt idx="34">
                        <c:v>44885</c:v>
                      </c:pt>
                      <c:pt idx="35">
                        <c:v>44916</c:v>
                      </c:pt>
                      <c:pt idx="36">
                        <c:v>44947</c:v>
                      </c:pt>
                      <c:pt idx="37">
                        <c:v>44978</c:v>
                      </c:pt>
                      <c:pt idx="38">
                        <c:v>45009</c:v>
                      </c:pt>
                    </c:numCache>
                  </c:numRef>
                </c:cat>
                <c:val>
                  <c:numRef>
                    <c:extLst>
                      <c:ext uri="{02D57815-91ED-43cb-92C2-25804820EDAC}">
                        <c15:formulaRef>
                          <c15:sqref>'mpr and inflation'!$H$3:$H$41</c15:sqref>
                        </c15:formulaRef>
                      </c:ext>
                    </c:extLst>
                    <c:numCache>
                      <c:formatCode>General</c:formatCode>
                      <c:ptCount val="39"/>
                      <c:pt idx="0">
                        <c:v>13.5</c:v>
                      </c:pt>
                      <c:pt idx="1">
                        <c:v>13.5</c:v>
                      </c:pt>
                      <c:pt idx="2">
                        <c:v>13.5</c:v>
                      </c:pt>
                      <c:pt idx="3">
                        <c:v>13.5</c:v>
                      </c:pt>
                      <c:pt idx="4">
                        <c:v>12.5</c:v>
                      </c:pt>
                      <c:pt idx="5">
                        <c:v>12.5</c:v>
                      </c:pt>
                      <c:pt idx="6">
                        <c:v>12.5</c:v>
                      </c:pt>
                      <c:pt idx="7">
                        <c:v>12.5</c:v>
                      </c:pt>
                      <c:pt idx="8">
                        <c:v>11.5</c:v>
                      </c:pt>
                      <c:pt idx="9">
                        <c:v>11.5</c:v>
                      </c:pt>
                      <c:pt idx="10">
                        <c:v>11.5</c:v>
                      </c:pt>
                      <c:pt idx="11">
                        <c:v>11.5</c:v>
                      </c:pt>
                      <c:pt idx="12">
                        <c:v>11.5</c:v>
                      </c:pt>
                      <c:pt idx="13">
                        <c:v>11.5</c:v>
                      </c:pt>
                      <c:pt idx="14">
                        <c:v>11.5</c:v>
                      </c:pt>
                      <c:pt idx="15">
                        <c:v>11.5</c:v>
                      </c:pt>
                      <c:pt idx="16">
                        <c:v>11.5</c:v>
                      </c:pt>
                      <c:pt idx="17">
                        <c:v>11.5</c:v>
                      </c:pt>
                      <c:pt idx="18">
                        <c:v>11.5</c:v>
                      </c:pt>
                      <c:pt idx="19">
                        <c:v>11.5</c:v>
                      </c:pt>
                      <c:pt idx="20">
                        <c:v>11.5</c:v>
                      </c:pt>
                      <c:pt idx="21">
                        <c:v>11.5</c:v>
                      </c:pt>
                      <c:pt idx="22">
                        <c:v>11.5</c:v>
                      </c:pt>
                      <c:pt idx="23">
                        <c:v>11.5</c:v>
                      </c:pt>
                      <c:pt idx="24">
                        <c:v>11.5</c:v>
                      </c:pt>
                      <c:pt idx="25">
                        <c:v>11.5</c:v>
                      </c:pt>
                      <c:pt idx="26">
                        <c:v>11.5</c:v>
                      </c:pt>
                      <c:pt idx="27">
                        <c:v>11.5</c:v>
                      </c:pt>
                      <c:pt idx="28">
                        <c:v>13</c:v>
                      </c:pt>
                      <c:pt idx="29">
                        <c:v>13</c:v>
                      </c:pt>
                      <c:pt idx="30">
                        <c:v>14</c:v>
                      </c:pt>
                      <c:pt idx="31">
                        <c:v>14</c:v>
                      </c:pt>
                      <c:pt idx="32">
                        <c:v>15.5</c:v>
                      </c:pt>
                      <c:pt idx="33">
                        <c:v>15.5</c:v>
                      </c:pt>
                      <c:pt idx="34">
                        <c:v>16.5</c:v>
                      </c:pt>
                      <c:pt idx="35">
                        <c:v>16.5</c:v>
                      </c:pt>
                      <c:pt idx="36">
                        <c:v>17.5</c:v>
                      </c:pt>
                      <c:pt idx="37">
                        <c:v>17.5</c:v>
                      </c:pt>
                      <c:pt idx="38">
                        <c:v>18</c:v>
                      </c:pt>
                    </c:numCache>
                  </c:numRef>
                </c:val>
                <c:smooth val="0"/>
                <c:extLst>
                  <c:ext xmlns:c16="http://schemas.microsoft.com/office/drawing/2014/chart" uri="{C3380CC4-5D6E-409C-BE32-E72D297353CC}">
                    <c16:uniqueId val="{00000003-7625-417B-8914-DA31F97931D0}"/>
                  </c:ext>
                </c:extLst>
              </c15:ser>
            </c15:filteredLineSeries>
          </c:ext>
        </c:extLst>
      </c:lineChart>
      <c:dateAx>
        <c:axId val="635339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95000"/>
                    <a:lumOff val="5000"/>
                  </a:schemeClr>
                </a:solidFill>
                <a:latin typeface="Candara" panose="020E0502030303020204" pitchFamily="34" charset="0"/>
                <a:ea typeface="+mn-ea"/>
                <a:cs typeface="+mn-cs"/>
              </a:defRPr>
            </a:pPr>
            <a:endParaRPr lang="en-US"/>
          </a:p>
        </c:txPr>
        <c:crossAx val="165763760"/>
        <c:crosses val="autoZero"/>
        <c:auto val="1"/>
        <c:lblOffset val="100"/>
        <c:baseTimeUnit val="months"/>
        <c:majorUnit val="1"/>
        <c:majorTimeUnit val="months"/>
      </c:dateAx>
      <c:valAx>
        <c:axId val="16576376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Candara" panose="020E0502030303020204" pitchFamily="34" charset="0"/>
                <a:ea typeface="+mn-ea"/>
                <a:cs typeface="+mn-cs"/>
              </a:defRPr>
            </a:pPr>
            <a:endParaRPr lang="en-US"/>
          </a:p>
        </c:txPr>
        <c:crossAx val="63533952"/>
        <c:crosses val="autoZero"/>
        <c:crossBetween val="between"/>
      </c:valAx>
      <c:spPr>
        <a:noFill/>
        <a:ln>
          <a:noFill/>
        </a:ln>
        <a:effectLst/>
      </c:spPr>
    </c:plotArea>
    <c:legend>
      <c:legendPos val="b"/>
      <c:layout>
        <c:manualLayout>
          <c:xMode val="edge"/>
          <c:yMode val="edge"/>
          <c:x val="4.4444444444444446E-2"/>
          <c:y val="2.8355934674832269E-2"/>
          <c:w val="0.9"/>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Candara" panose="020E05020303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lumMod val="95000"/>
              <a:lumOff val="5000"/>
            </a:schemeClr>
          </a:solidFill>
          <a:latin typeface="Candara" panose="020E0502030303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chemeClr val="tx1"/>
                </a:solidFill>
                <a:latin typeface="Candara" panose="020E0502030303020204" pitchFamily="34" charset="0"/>
                <a:ea typeface="+mn-ea"/>
                <a:cs typeface="+mn-cs"/>
              </a:defRPr>
            </a:pPr>
            <a:r>
              <a:rPr lang="en-US"/>
              <a:t>NGN Sovereign rate curve</a:t>
            </a:r>
          </a:p>
        </c:rich>
      </c:tx>
      <c:layout>
        <c:manualLayout>
          <c:xMode val="edge"/>
          <c:yMode val="edge"/>
          <c:x val="1.1596675415573054E-3"/>
          <c:y val="0"/>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chemeClr val="tx1"/>
              </a:solidFill>
              <a:latin typeface="Candara" panose="020E0502030303020204" pitchFamily="34" charset="0"/>
              <a:ea typeface="+mn-ea"/>
              <a:cs typeface="+mn-cs"/>
            </a:defRPr>
          </a:pPr>
          <a:endParaRPr lang="en-US"/>
        </a:p>
      </c:txPr>
    </c:title>
    <c:autoTitleDeleted val="0"/>
    <c:plotArea>
      <c:layout>
        <c:manualLayout>
          <c:layoutTarget val="inner"/>
          <c:xMode val="edge"/>
          <c:yMode val="edge"/>
          <c:x val="8.0104678896884968E-2"/>
          <c:y val="0.15363444152814232"/>
          <c:w val="0.89816563835648311"/>
          <c:h val="0.58253025663458735"/>
        </c:manualLayout>
      </c:layout>
      <c:lineChart>
        <c:grouping val="standard"/>
        <c:varyColors val="0"/>
        <c:ser>
          <c:idx val="0"/>
          <c:order val="0"/>
          <c:tx>
            <c:strRef>
              <c:f>'NTB &amp; FGN Bonds'!$G$2</c:f>
              <c:strCache>
                <c:ptCount val="1"/>
                <c:pt idx="0">
                  <c:v>31-Mar</c:v>
                </c:pt>
              </c:strCache>
            </c:strRef>
          </c:tx>
          <c:spPr>
            <a:ln w="28575" cap="rnd">
              <a:solidFill>
                <a:schemeClr val="accent1"/>
              </a:solidFill>
              <a:round/>
            </a:ln>
            <a:effectLst/>
          </c:spPr>
          <c:marker>
            <c:symbol val="none"/>
          </c:marker>
          <c:cat>
            <c:strRef>
              <c:f>'NTB &amp; FGN Bonds'!$B$3:$B$21</c:f>
              <c:strCache>
                <c:ptCount val="19"/>
                <c:pt idx="0">
                  <c:v>91-D</c:v>
                </c:pt>
                <c:pt idx="1">
                  <c:v>182-D</c:v>
                </c:pt>
                <c:pt idx="2">
                  <c:v>364-D</c:v>
                </c:pt>
                <c:pt idx="3">
                  <c:v>2024</c:v>
                </c:pt>
                <c:pt idx="4">
                  <c:v>2025</c:v>
                </c:pt>
                <c:pt idx="5">
                  <c:v>2026</c:v>
                </c:pt>
                <c:pt idx="6">
                  <c:v>2027</c:v>
                </c:pt>
                <c:pt idx="7">
                  <c:v>2028</c:v>
                </c:pt>
                <c:pt idx="8">
                  <c:v>2029</c:v>
                </c:pt>
                <c:pt idx="9">
                  <c:v>2030</c:v>
                </c:pt>
                <c:pt idx="10">
                  <c:v>2032</c:v>
                </c:pt>
                <c:pt idx="11">
                  <c:v>2034</c:v>
                </c:pt>
                <c:pt idx="12">
                  <c:v>2035</c:v>
                </c:pt>
                <c:pt idx="13">
                  <c:v>2036</c:v>
                </c:pt>
                <c:pt idx="14">
                  <c:v>2037</c:v>
                </c:pt>
                <c:pt idx="15">
                  <c:v>2042</c:v>
                </c:pt>
                <c:pt idx="16">
                  <c:v>2045</c:v>
                </c:pt>
                <c:pt idx="17">
                  <c:v>2049</c:v>
                </c:pt>
                <c:pt idx="18">
                  <c:v>2050</c:v>
                </c:pt>
              </c:strCache>
            </c:strRef>
          </c:cat>
          <c:val>
            <c:numRef>
              <c:f>'NTB &amp; FGN Bonds'!$G$3:$G$21</c:f>
              <c:numCache>
                <c:formatCode>#,##0.00</c:formatCode>
                <c:ptCount val="19"/>
                <c:pt idx="0">
                  <c:v>5.5</c:v>
                </c:pt>
                <c:pt idx="1">
                  <c:v>7.35</c:v>
                </c:pt>
                <c:pt idx="2">
                  <c:v>11.4</c:v>
                </c:pt>
                <c:pt idx="3">
                  <c:v>11.577999999999999</c:v>
                </c:pt>
                <c:pt idx="4">
                  <c:v>11.013031567908321</c:v>
                </c:pt>
                <c:pt idx="5">
                  <c:v>12.03053915474433</c:v>
                </c:pt>
                <c:pt idx="6">
                  <c:v>12.7277868203557</c:v>
                </c:pt>
                <c:pt idx="7">
                  <c:v>14.000961024562672</c:v>
                </c:pt>
                <c:pt idx="8">
                  <c:v>14.000157608663038</c:v>
                </c:pt>
                <c:pt idx="9">
                  <c:v>14.309434452107187</c:v>
                </c:pt>
                <c:pt idx="10">
                  <c:v>14.74793624404295</c:v>
                </c:pt>
                <c:pt idx="11">
                  <c:v>14.74934839185747</c:v>
                </c:pt>
                <c:pt idx="12">
                  <c:v>14.752093170585667</c:v>
                </c:pt>
                <c:pt idx="13">
                  <c:v>14.761060041034964</c:v>
                </c:pt>
                <c:pt idx="14">
                  <c:v>15.098940307603561</c:v>
                </c:pt>
                <c:pt idx="15">
                  <c:v>15.136269096089231</c:v>
                </c:pt>
                <c:pt idx="16">
                  <c:v>15.403066932657886</c:v>
                </c:pt>
                <c:pt idx="17">
                  <c:v>15.688920385181444</c:v>
                </c:pt>
                <c:pt idx="18">
                  <c:v>15.465879863667492</c:v>
                </c:pt>
              </c:numCache>
            </c:numRef>
          </c:val>
          <c:smooth val="1"/>
          <c:extLst xmlns:c15="http://schemas.microsoft.com/office/drawing/2012/chart">
            <c:ext xmlns:c16="http://schemas.microsoft.com/office/drawing/2014/chart" uri="{C3380CC4-5D6E-409C-BE32-E72D297353CC}">
              <c16:uniqueId val="{00000000-9539-488C-BDA2-4FD78B1FDFFB}"/>
            </c:ext>
          </c:extLst>
        </c:ser>
        <c:ser>
          <c:idx val="1"/>
          <c:order val="1"/>
          <c:tx>
            <c:strRef>
              <c:f>'NTB &amp; FGN Bonds'!$H$2</c:f>
              <c:strCache>
                <c:ptCount val="1"/>
                <c:pt idx="0">
                  <c:v>30-Apr</c:v>
                </c:pt>
              </c:strCache>
            </c:strRef>
          </c:tx>
          <c:spPr>
            <a:ln w="28575" cap="rnd">
              <a:solidFill>
                <a:schemeClr val="accent2"/>
              </a:solidFill>
              <a:round/>
            </a:ln>
            <a:effectLst/>
          </c:spPr>
          <c:marker>
            <c:symbol val="none"/>
          </c:marker>
          <c:cat>
            <c:strRef>
              <c:f>'NTB &amp; FGN Bonds'!$B$3:$B$21</c:f>
              <c:strCache>
                <c:ptCount val="19"/>
                <c:pt idx="0">
                  <c:v>91-D</c:v>
                </c:pt>
                <c:pt idx="1">
                  <c:v>182-D</c:v>
                </c:pt>
                <c:pt idx="2">
                  <c:v>364-D</c:v>
                </c:pt>
                <c:pt idx="3">
                  <c:v>2024</c:v>
                </c:pt>
                <c:pt idx="4">
                  <c:v>2025</c:v>
                </c:pt>
                <c:pt idx="5">
                  <c:v>2026</c:v>
                </c:pt>
                <c:pt idx="6">
                  <c:v>2027</c:v>
                </c:pt>
                <c:pt idx="7">
                  <c:v>2028</c:v>
                </c:pt>
                <c:pt idx="8">
                  <c:v>2029</c:v>
                </c:pt>
                <c:pt idx="9">
                  <c:v>2030</c:v>
                </c:pt>
                <c:pt idx="10">
                  <c:v>2032</c:v>
                </c:pt>
                <c:pt idx="11">
                  <c:v>2034</c:v>
                </c:pt>
                <c:pt idx="12">
                  <c:v>2035</c:v>
                </c:pt>
                <c:pt idx="13">
                  <c:v>2036</c:v>
                </c:pt>
                <c:pt idx="14">
                  <c:v>2037</c:v>
                </c:pt>
                <c:pt idx="15">
                  <c:v>2042</c:v>
                </c:pt>
                <c:pt idx="16">
                  <c:v>2045</c:v>
                </c:pt>
                <c:pt idx="17">
                  <c:v>2049</c:v>
                </c:pt>
                <c:pt idx="18">
                  <c:v>2050</c:v>
                </c:pt>
              </c:strCache>
            </c:strRef>
          </c:cat>
          <c:val>
            <c:numRef>
              <c:f>'NTB &amp; FGN Bonds'!$H$3:$H$21</c:f>
              <c:numCache>
                <c:formatCode>#,##0.00</c:formatCode>
                <c:ptCount val="19"/>
                <c:pt idx="0">
                  <c:v>4.1399999999999997</c:v>
                </c:pt>
                <c:pt idx="1">
                  <c:v>5.85</c:v>
                </c:pt>
                <c:pt idx="2">
                  <c:v>9.3000000000000007</c:v>
                </c:pt>
                <c:pt idx="3">
                  <c:v>11.016999999999999</c:v>
                </c:pt>
                <c:pt idx="4">
                  <c:v>11.098761556257786</c:v>
                </c:pt>
                <c:pt idx="5">
                  <c:v>12.390855972393245</c:v>
                </c:pt>
                <c:pt idx="6">
                  <c:v>12.856725516289572</c:v>
                </c:pt>
                <c:pt idx="7">
                  <c:v>14.068012262222481</c:v>
                </c:pt>
                <c:pt idx="8">
                  <c:v>14.267655969633571</c:v>
                </c:pt>
                <c:pt idx="9">
                  <c:v>14.464</c:v>
                </c:pt>
                <c:pt idx="10">
                  <c:v>14.730907397664794</c:v>
                </c:pt>
                <c:pt idx="11">
                  <c:v>14.494211471805048</c:v>
                </c:pt>
                <c:pt idx="12">
                  <c:v>14.752721937917007</c:v>
                </c:pt>
                <c:pt idx="13">
                  <c:v>14.700046805949565</c:v>
                </c:pt>
                <c:pt idx="14">
                  <c:v>15.234640046115439</c:v>
                </c:pt>
                <c:pt idx="15">
                  <c:v>15.357435194564371</c:v>
                </c:pt>
                <c:pt idx="16">
                  <c:v>15.369</c:v>
                </c:pt>
                <c:pt idx="17">
                  <c:v>15.379357783219373</c:v>
                </c:pt>
                <c:pt idx="18">
                  <c:v>15.460444957767367</c:v>
                </c:pt>
              </c:numCache>
            </c:numRef>
          </c:val>
          <c:smooth val="1"/>
          <c:extLst>
            <c:ext xmlns:c16="http://schemas.microsoft.com/office/drawing/2014/chart" uri="{C3380CC4-5D6E-409C-BE32-E72D297353CC}">
              <c16:uniqueId val="{00000001-9539-488C-BDA2-4FD78B1FDFFB}"/>
            </c:ext>
          </c:extLst>
        </c:ser>
        <c:ser>
          <c:idx val="2"/>
          <c:order val="2"/>
          <c:tx>
            <c:strRef>
              <c:f>'NTB &amp; FGN Bonds'!$I$2</c:f>
              <c:strCache>
                <c:ptCount val="1"/>
                <c:pt idx="0">
                  <c:v>Current Inflation</c:v>
                </c:pt>
              </c:strCache>
            </c:strRef>
          </c:tx>
          <c:spPr>
            <a:ln w="28575" cap="rnd">
              <a:solidFill>
                <a:schemeClr val="accent3"/>
              </a:solidFill>
              <a:round/>
            </a:ln>
            <a:effectLst/>
          </c:spPr>
          <c:marker>
            <c:symbol val="none"/>
          </c:marker>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39-488C-BDA2-4FD78B1FDF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andara" panose="020E0502030303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'NTB &amp; FGN Bonds'!$B$3:$B$21</c:f>
              <c:strCache>
                <c:ptCount val="19"/>
                <c:pt idx="0">
                  <c:v>91-D</c:v>
                </c:pt>
                <c:pt idx="1">
                  <c:v>182-D</c:v>
                </c:pt>
                <c:pt idx="2">
                  <c:v>364-D</c:v>
                </c:pt>
                <c:pt idx="3">
                  <c:v>2024</c:v>
                </c:pt>
                <c:pt idx="4">
                  <c:v>2025</c:v>
                </c:pt>
                <c:pt idx="5">
                  <c:v>2026</c:v>
                </c:pt>
                <c:pt idx="6">
                  <c:v>2027</c:v>
                </c:pt>
                <c:pt idx="7">
                  <c:v>2028</c:v>
                </c:pt>
                <c:pt idx="8">
                  <c:v>2029</c:v>
                </c:pt>
                <c:pt idx="9">
                  <c:v>2030</c:v>
                </c:pt>
                <c:pt idx="10">
                  <c:v>2032</c:v>
                </c:pt>
                <c:pt idx="11">
                  <c:v>2034</c:v>
                </c:pt>
                <c:pt idx="12">
                  <c:v>2035</c:v>
                </c:pt>
                <c:pt idx="13">
                  <c:v>2036</c:v>
                </c:pt>
                <c:pt idx="14">
                  <c:v>2037</c:v>
                </c:pt>
                <c:pt idx="15">
                  <c:v>2042</c:v>
                </c:pt>
                <c:pt idx="16">
                  <c:v>2045</c:v>
                </c:pt>
                <c:pt idx="17">
                  <c:v>2049</c:v>
                </c:pt>
                <c:pt idx="18">
                  <c:v>2050</c:v>
                </c:pt>
              </c:strCache>
            </c:strRef>
          </c:cat>
          <c:val>
            <c:numRef>
              <c:f>'NTB &amp; FGN Bonds'!$I$3:$I$21</c:f>
              <c:numCache>
                <c:formatCode>#,##0.00</c:formatCode>
                <c:ptCount val="19"/>
                <c:pt idx="0">
                  <c:v>22.04</c:v>
                </c:pt>
                <c:pt idx="1">
                  <c:v>22.04</c:v>
                </c:pt>
                <c:pt idx="2">
                  <c:v>22.04</c:v>
                </c:pt>
                <c:pt idx="3">
                  <c:v>22.04</c:v>
                </c:pt>
                <c:pt idx="4">
                  <c:v>22.04</c:v>
                </c:pt>
                <c:pt idx="5">
                  <c:v>22.04</c:v>
                </c:pt>
                <c:pt idx="6">
                  <c:v>22.04</c:v>
                </c:pt>
                <c:pt idx="7">
                  <c:v>22.04</c:v>
                </c:pt>
                <c:pt idx="8">
                  <c:v>22.04</c:v>
                </c:pt>
                <c:pt idx="9">
                  <c:v>22.04</c:v>
                </c:pt>
                <c:pt idx="10">
                  <c:v>22.04</c:v>
                </c:pt>
                <c:pt idx="11">
                  <c:v>22.04</c:v>
                </c:pt>
                <c:pt idx="12">
                  <c:v>22.04</c:v>
                </c:pt>
                <c:pt idx="13">
                  <c:v>22.04</c:v>
                </c:pt>
                <c:pt idx="14">
                  <c:v>22.04</c:v>
                </c:pt>
                <c:pt idx="15">
                  <c:v>22.04</c:v>
                </c:pt>
                <c:pt idx="16">
                  <c:v>22.04</c:v>
                </c:pt>
                <c:pt idx="17">
                  <c:v>22.04</c:v>
                </c:pt>
                <c:pt idx="18">
                  <c:v>22.04</c:v>
                </c:pt>
              </c:numCache>
            </c:numRef>
          </c:val>
          <c:smooth val="1"/>
          <c:extLst>
            <c:ext xmlns:c16="http://schemas.microsoft.com/office/drawing/2014/chart" uri="{C3380CC4-5D6E-409C-BE32-E72D297353CC}">
              <c16:uniqueId val="{00000003-9539-488C-BDA2-4FD78B1FDFFB}"/>
            </c:ext>
          </c:extLst>
        </c:ser>
        <c:ser>
          <c:idx val="3"/>
          <c:order val="3"/>
          <c:tx>
            <c:strRef>
              <c:f>'NTB &amp; FGN Bonds'!$J$2</c:f>
              <c:strCache>
                <c:ptCount val="1"/>
                <c:pt idx="0">
                  <c:v>Current Mpr</c:v>
                </c:pt>
              </c:strCache>
            </c:strRef>
          </c:tx>
          <c:spPr>
            <a:ln w="28575" cap="rnd">
              <a:solidFill>
                <a:schemeClr val="accent4"/>
              </a:solidFill>
              <a:round/>
            </a:ln>
            <a:effectLst/>
          </c:spPr>
          <c:marker>
            <c:symbol val="none"/>
          </c:marker>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39-488C-BDA2-4FD78B1FDF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andara" panose="020E0502030303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'NTB &amp; FGN Bonds'!$B$3:$B$21</c:f>
              <c:strCache>
                <c:ptCount val="19"/>
                <c:pt idx="0">
                  <c:v>91-D</c:v>
                </c:pt>
                <c:pt idx="1">
                  <c:v>182-D</c:v>
                </c:pt>
                <c:pt idx="2">
                  <c:v>364-D</c:v>
                </c:pt>
                <c:pt idx="3">
                  <c:v>2024</c:v>
                </c:pt>
                <c:pt idx="4">
                  <c:v>2025</c:v>
                </c:pt>
                <c:pt idx="5">
                  <c:v>2026</c:v>
                </c:pt>
                <c:pt idx="6">
                  <c:v>2027</c:v>
                </c:pt>
                <c:pt idx="7">
                  <c:v>2028</c:v>
                </c:pt>
                <c:pt idx="8">
                  <c:v>2029</c:v>
                </c:pt>
                <c:pt idx="9">
                  <c:v>2030</c:v>
                </c:pt>
                <c:pt idx="10">
                  <c:v>2032</c:v>
                </c:pt>
                <c:pt idx="11">
                  <c:v>2034</c:v>
                </c:pt>
                <c:pt idx="12">
                  <c:v>2035</c:v>
                </c:pt>
                <c:pt idx="13">
                  <c:v>2036</c:v>
                </c:pt>
                <c:pt idx="14">
                  <c:v>2037</c:v>
                </c:pt>
                <c:pt idx="15">
                  <c:v>2042</c:v>
                </c:pt>
                <c:pt idx="16">
                  <c:v>2045</c:v>
                </c:pt>
                <c:pt idx="17">
                  <c:v>2049</c:v>
                </c:pt>
                <c:pt idx="18">
                  <c:v>2050</c:v>
                </c:pt>
              </c:strCache>
            </c:strRef>
          </c:cat>
          <c:val>
            <c:numRef>
              <c:f>'NTB &amp; FGN Bonds'!$J$3:$J$21</c:f>
              <c:numCache>
                <c:formatCode>#,##0.00</c:formatCode>
                <c:ptCount val="19"/>
                <c:pt idx="0">
                  <c:v>18</c:v>
                </c:pt>
                <c:pt idx="1">
                  <c:v>18</c:v>
                </c:pt>
                <c:pt idx="2">
                  <c:v>18</c:v>
                </c:pt>
                <c:pt idx="3">
                  <c:v>18</c:v>
                </c:pt>
                <c:pt idx="4">
                  <c:v>18</c:v>
                </c:pt>
                <c:pt idx="5">
                  <c:v>18</c:v>
                </c:pt>
                <c:pt idx="6">
                  <c:v>18</c:v>
                </c:pt>
                <c:pt idx="7">
                  <c:v>18</c:v>
                </c:pt>
                <c:pt idx="8">
                  <c:v>18</c:v>
                </c:pt>
                <c:pt idx="9">
                  <c:v>18</c:v>
                </c:pt>
                <c:pt idx="10">
                  <c:v>18</c:v>
                </c:pt>
                <c:pt idx="11">
                  <c:v>18</c:v>
                </c:pt>
                <c:pt idx="12">
                  <c:v>18</c:v>
                </c:pt>
                <c:pt idx="13">
                  <c:v>18</c:v>
                </c:pt>
                <c:pt idx="14">
                  <c:v>18</c:v>
                </c:pt>
                <c:pt idx="15">
                  <c:v>18</c:v>
                </c:pt>
                <c:pt idx="16">
                  <c:v>18</c:v>
                </c:pt>
                <c:pt idx="17">
                  <c:v>18</c:v>
                </c:pt>
                <c:pt idx="18">
                  <c:v>18</c:v>
                </c:pt>
              </c:numCache>
            </c:numRef>
          </c:val>
          <c:smooth val="1"/>
          <c:extLst>
            <c:ext xmlns:c16="http://schemas.microsoft.com/office/drawing/2014/chart" uri="{C3380CC4-5D6E-409C-BE32-E72D297353CC}">
              <c16:uniqueId val="{00000005-9539-488C-BDA2-4FD78B1FDFFB}"/>
            </c:ext>
          </c:extLst>
        </c:ser>
        <c:dLbls>
          <c:showLegendKey val="0"/>
          <c:showVal val="0"/>
          <c:showCatName val="0"/>
          <c:showSerName val="0"/>
          <c:showPercent val="0"/>
          <c:showBubbleSize val="0"/>
        </c:dLbls>
        <c:smooth val="0"/>
        <c:axId val="778454144"/>
        <c:axId val="778442912"/>
        <c:extLst/>
      </c:lineChart>
      <c:catAx>
        <c:axId val="77845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solidFill>
                <a:latin typeface="Candara" panose="020E0502030303020204" pitchFamily="34" charset="0"/>
                <a:ea typeface="+mn-ea"/>
                <a:cs typeface="+mn-cs"/>
              </a:defRPr>
            </a:pPr>
            <a:endParaRPr lang="en-US"/>
          </a:p>
        </c:txPr>
        <c:crossAx val="778442912"/>
        <c:crosses val="autoZero"/>
        <c:auto val="1"/>
        <c:lblAlgn val="ctr"/>
        <c:lblOffset val="100"/>
        <c:noMultiLvlLbl val="0"/>
      </c:catAx>
      <c:valAx>
        <c:axId val="77844291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Candara" panose="020E0502030303020204" pitchFamily="34" charset="0"/>
                <a:ea typeface="+mn-ea"/>
                <a:cs typeface="+mn-cs"/>
              </a:defRPr>
            </a:pPr>
            <a:endParaRPr lang="en-US"/>
          </a:p>
        </c:txPr>
        <c:crossAx val="778454144"/>
        <c:crosses val="autoZero"/>
        <c:crossBetween val="between"/>
      </c:valAx>
      <c:spPr>
        <a:noFill/>
        <a:ln>
          <a:noFill/>
        </a:ln>
        <a:effectLst/>
      </c:spPr>
    </c:plotArea>
    <c:legend>
      <c:legendPos val="b"/>
      <c:layout>
        <c:manualLayout>
          <c:xMode val="edge"/>
          <c:yMode val="edge"/>
          <c:x val="0.33879943132108481"/>
          <c:y val="5.7815689705449278E-4"/>
          <c:w val="0.63906780402449692"/>
          <c:h val="7.812554680664916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Candara" panose="020E0502030303020204" pitchFamily="34" charset="0"/>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chemeClr val="tx1"/>
          </a:solidFill>
          <a:latin typeface="Candara" panose="020E0502030303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Candara" panose="020E0502030303020204" pitchFamily="34" charset="0"/>
                <a:ea typeface="+mn-ea"/>
                <a:cs typeface="+mn-cs"/>
              </a:defRPr>
            </a:pPr>
            <a:r>
              <a:rPr lang="en-US" sz="1080" b="1" i="0" u="none" strike="noStrike" baseline="0">
                <a:effectLst/>
              </a:rPr>
              <a:t> System Liquidity and Interbank Rates</a:t>
            </a:r>
            <a:endParaRPr lang="en-US"/>
          </a:p>
        </c:rich>
      </c:tx>
      <c:layout>
        <c:manualLayout>
          <c:xMode val="edge"/>
          <c:yMode val="edge"/>
          <c:x val="6.2980348610269868E-3"/>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Candara" panose="020E0502030303020204" pitchFamily="34" charset="0"/>
              <a:ea typeface="+mn-ea"/>
              <a:cs typeface="+mn-cs"/>
            </a:defRPr>
          </a:pPr>
          <a:endParaRPr lang="en-US"/>
        </a:p>
      </c:txPr>
    </c:title>
    <c:autoTitleDeleted val="0"/>
    <c:plotArea>
      <c:layout/>
      <c:areaChart>
        <c:grouping val="stacked"/>
        <c:varyColors val="0"/>
        <c:ser>
          <c:idx val="2"/>
          <c:order val="2"/>
          <c:tx>
            <c:strRef>
              <c:f>'Liquidity and rates'!$D$1</c:f>
              <c:strCache>
                <c:ptCount val="1"/>
                <c:pt idx="0">
                  <c:v>Sys. Liq. (₦'bn)</c:v>
                </c:pt>
              </c:strCache>
            </c:strRef>
          </c:tx>
          <c:spPr>
            <a:solidFill>
              <a:schemeClr val="accent3"/>
            </a:solidFill>
            <a:ln w="25400">
              <a:noFill/>
            </a:ln>
            <a:effectLst/>
          </c:spPr>
          <c:cat>
            <c:numRef>
              <c:f>'Liquidity and rates'!$A$273:$A$288</c:f>
              <c:numCache>
                <c:formatCode>[$-409]dd\-mmm\-yy;@</c:formatCode>
                <c:ptCount val="16"/>
                <c:pt idx="0">
                  <c:v>45019</c:v>
                </c:pt>
                <c:pt idx="1">
                  <c:v>45020</c:v>
                </c:pt>
                <c:pt idx="2" formatCode="d\-mmm\-yy">
                  <c:v>45021</c:v>
                </c:pt>
                <c:pt idx="3" formatCode="d\-mmm\-yy">
                  <c:v>45022</c:v>
                </c:pt>
                <c:pt idx="4" formatCode="d\-mmm\-yy">
                  <c:v>45027</c:v>
                </c:pt>
                <c:pt idx="5" formatCode="d\-mmm\-yy">
                  <c:v>45028</c:v>
                </c:pt>
                <c:pt idx="6" formatCode="d\-mmm\-yy">
                  <c:v>45029</c:v>
                </c:pt>
                <c:pt idx="7" formatCode="d\-mmm\-yy">
                  <c:v>45030</c:v>
                </c:pt>
                <c:pt idx="8" formatCode="d\-mmm\-yy">
                  <c:v>45033</c:v>
                </c:pt>
                <c:pt idx="9" formatCode="d\-mmm\-yy">
                  <c:v>45034</c:v>
                </c:pt>
                <c:pt idx="10" formatCode="d\-mmm\-yy">
                  <c:v>45035</c:v>
                </c:pt>
                <c:pt idx="11" formatCode="d\-mmm\-yy">
                  <c:v>45036</c:v>
                </c:pt>
                <c:pt idx="12" formatCode="d\-mmm\-yy">
                  <c:v>45041</c:v>
                </c:pt>
                <c:pt idx="13" formatCode="d\-mmm\-yy">
                  <c:v>45042</c:v>
                </c:pt>
                <c:pt idx="14" formatCode="d\-mmm\-yy">
                  <c:v>45043</c:v>
                </c:pt>
                <c:pt idx="15" formatCode="d\-mmm\-yy">
                  <c:v>45044</c:v>
                </c:pt>
              </c:numCache>
            </c:numRef>
          </c:cat>
          <c:val>
            <c:numRef>
              <c:f>'Liquidity and rates'!$D$273:$D$288</c:f>
              <c:numCache>
                <c:formatCode>#,##0.00_);[Red]\(#,##0.00\)</c:formatCode>
                <c:ptCount val="16"/>
                <c:pt idx="0">
                  <c:v>43.26</c:v>
                </c:pt>
                <c:pt idx="1">
                  <c:v>-61.08</c:v>
                </c:pt>
                <c:pt idx="2">
                  <c:v>-81.08</c:v>
                </c:pt>
                <c:pt idx="3">
                  <c:v>-160.69999999999999</c:v>
                </c:pt>
                <c:pt idx="4">
                  <c:v>-124.67</c:v>
                </c:pt>
                <c:pt idx="5">
                  <c:v>-51.66</c:v>
                </c:pt>
                <c:pt idx="6">
                  <c:v>-183.18</c:v>
                </c:pt>
                <c:pt idx="7">
                  <c:v>-345.8</c:v>
                </c:pt>
                <c:pt idx="8">
                  <c:v>-262.27999999999997</c:v>
                </c:pt>
                <c:pt idx="9">
                  <c:v>-224.71</c:v>
                </c:pt>
                <c:pt idx="10">
                  <c:v>-782.03</c:v>
                </c:pt>
                <c:pt idx="11">
                  <c:v>-430.03</c:v>
                </c:pt>
                <c:pt idx="12">
                  <c:v>-0.41</c:v>
                </c:pt>
                <c:pt idx="13">
                  <c:v>525.78</c:v>
                </c:pt>
                <c:pt idx="14">
                  <c:v>1305.29</c:v>
                </c:pt>
                <c:pt idx="15">
                  <c:v>1106.21</c:v>
                </c:pt>
              </c:numCache>
            </c:numRef>
          </c:val>
          <c:extLst>
            <c:ext xmlns:c16="http://schemas.microsoft.com/office/drawing/2014/chart" uri="{C3380CC4-5D6E-409C-BE32-E72D297353CC}">
              <c16:uniqueId val="{00000000-EECB-4386-9880-DAC8F93451C4}"/>
            </c:ext>
          </c:extLst>
        </c:ser>
        <c:dLbls>
          <c:showLegendKey val="0"/>
          <c:showVal val="0"/>
          <c:showCatName val="0"/>
          <c:showSerName val="0"/>
          <c:showPercent val="0"/>
          <c:showBubbleSize val="0"/>
        </c:dLbls>
        <c:axId val="1341519215"/>
        <c:axId val="1341517551"/>
      </c:areaChart>
      <c:lineChart>
        <c:grouping val="standard"/>
        <c:varyColors val="0"/>
        <c:ser>
          <c:idx val="0"/>
          <c:order val="0"/>
          <c:tx>
            <c:strRef>
              <c:f>'Liquidity and rates'!$B$1</c:f>
              <c:strCache>
                <c:ptCount val="1"/>
                <c:pt idx="0">
                  <c:v>OPR (%)</c:v>
                </c:pt>
              </c:strCache>
            </c:strRef>
          </c:tx>
          <c:spPr>
            <a:ln w="28575" cap="rnd">
              <a:solidFill>
                <a:schemeClr val="accent1"/>
              </a:solidFill>
              <a:round/>
            </a:ln>
            <a:effectLst/>
          </c:spPr>
          <c:marker>
            <c:symbol val="none"/>
          </c:marker>
          <c:cat>
            <c:numRef>
              <c:f>'Liquidity and rates'!$A$273:$A$288</c:f>
              <c:numCache>
                <c:formatCode>[$-409]dd\-mmm\-yy;@</c:formatCode>
                <c:ptCount val="16"/>
                <c:pt idx="0">
                  <c:v>45019</c:v>
                </c:pt>
                <c:pt idx="1">
                  <c:v>45020</c:v>
                </c:pt>
                <c:pt idx="2" formatCode="d\-mmm\-yy">
                  <c:v>45021</c:v>
                </c:pt>
                <c:pt idx="3" formatCode="d\-mmm\-yy">
                  <c:v>45022</c:v>
                </c:pt>
                <c:pt idx="4" formatCode="d\-mmm\-yy">
                  <c:v>45027</c:v>
                </c:pt>
                <c:pt idx="5" formatCode="d\-mmm\-yy">
                  <c:v>45028</c:v>
                </c:pt>
                <c:pt idx="6" formatCode="d\-mmm\-yy">
                  <c:v>45029</c:v>
                </c:pt>
                <c:pt idx="7" formatCode="d\-mmm\-yy">
                  <c:v>45030</c:v>
                </c:pt>
                <c:pt idx="8" formatCode="d\-mmm\-yy">
                  <c:v>45033</c:v>
                </c:pt>
                <c:pt idx="9" formatCode="d\-mmm\-yy">
                  <c:v>45034</c:v>
                </c:pt>
                <c:pt idx="10" formatCode="d\-mmm\-yy">
                  <c:v>45035</c:v>
                </c:pt>
                <c:pt idx="11" formatCode="d\-mmm\-yy">
                  <c:v>45036</c:v>
                </c:pt>
                <c:pt idx="12" formatCode="d\-mmm\-yy">
                  <c:v>45041</c:v>
                </c:pt>
                <c:pt idx="13" formatCode="d\-mmm\-yy">
                  <c:v>45042</c:v>
                </c:pt>
                <c:pt idx="14" formatCode="d\-mmm\-yy">
                  <c:v>45043</c:v>
                </c:pt>
                <c:pt idx="15" formatCode="d\-mmm\-yy">
                  <c:v>45044</c:v>
                </c:pt>
              </c:numCache>
            </c:numRef>
          </c:cat>
          <c:val>
            <c:numRef>
              <c:f>'Liquidity and rates'!$B$273:$B$288</c:f>
              <c:numCache>
                <c:formatCode>#,##0.00</c:formatCode>
                <c:ptCount val="16"/>
                <c:pt idx="0">
                  <c:v>17.38</c:v>
                </c:pt>
                <c:pt idx="1">
                  <c:v>18.63</c:v>
                </c:pt>
                <c:pt idx="2">
                  <c:v>18.63</c:v>
                </c:pt>
                <c:pt idx="3">
                  <c:v>18.5</c:v>
                </c:pt>
                <c:pt idx="4">
                  <c:v>18.63</c:v>
                </c:pt>
                <c:pt idx="5">
                  <c:v>18.63</c:v>
                </c:pt>
                <c:pt idx="6">
                  <c:v>18.670000000000002</c:v>
                </c:pt>
                <c:pt idx="7">
                  <c:v>18.63</c:v>
                </c:pt>
                <c:pt idx="8">
                  <c:v>18.63</c:v>
                </c:pt>
                <c:pt idx="9">
                  <c:v>18.63</c:v>
                </c:pt>
                <c:pt idx="10">
                  <c:v>18.63</c:v>
                </c:pt>
                <c:pt idx="11">
                  <c:v>18.63</c:v>
                </c:pt>
                <c:pt idx="12">
                  <c:v>14.63</c:v>
                </c:pt>
                <c:pt idx="13">
                  <c:v>11.13</c:v>
                </c:pt>
                <c:pt idx="14">
                  <c:v>11</c:v>
                </c:pt>
                <c:pt idx="15">
                  <c:v>12.63</c:v>
                </c:pt>
              </c:numCache>
            </c:numRef>
          </c:val>
          <c:smooth val="1"/>
          <c:extLst>
            <c:ext xmlns:c16="http://schemas.microsoft.com/office/drawing/2014/chart" uri="{C3380CC4-5D6E-409C-BE32-E72D297353CC}">
              <c16:uniqueId val="{00000001-EECB-4386-9880-DAC8F93451C4}"/>
            </c:ext>
          </c:extLst>
        </c:ser>
        <c:ser>
          <c:idx val="1"/>
          <c:order val="1"/>
          <c:tx>
            <c:strRef>
              <c:f>'Liquidity and rates'!$C$1</c:f>
              <c:strCache>
                <c:ptCount val="1"/>
                <c:pt idx="0">
                  <c:v>OVN (%)</c:v>
                </c:pt>
              </c:strCache>
            </c:strRef>
          </c:tx>
          <c:spPr>
            <a:ln w="28575" cap="rnd">
              <a:solidFill>
                <a:schemeClr val="accent2"/>
              </a:solidFill>
              <a:round/>
            </a:ln>
            <a:effectLst/>
          </c:spPr>
          <c:marker>
            <c:symbol val="none"/>
          </c:marker>
          <c:cat>
            <c:numRef>
              <c:f>'Liquidity and rates'!$A$273:$A$288</c:f>
              <c:numCache>
                <c:formatCode>[$-409]dd\-mmm\-yy;@</c:formatCode>
                <c:ptCount val="16"/>
                <c:pt idx="0">
                  <c:v>45019</c:v>
                </c:pt>
                <c:pt idx="1">
                  <c:v>45020</c:v>
                </c:pt>
                <c:pt idx="2" formatCode="d\-mmm\-yy">
                  <c:v>45021</c:v>
                </c:pt>
                <c:pt idx="3" formatCode="d\-mmm\-yy">
                  <c:v>45022</c:v>
                </c:pt>
                <c:pt idx="4" formatCode="d\-mmm\-yy">
                  <c:v>45027</c:v>
                </c:pt>
                <c:pt idx="5" formatCode="d\-mmm\-yy">
                  <c:v>45028</c:v>
                </c:pt>
                <c:pt idx="6" formatCode="d\-mmm\-yy">
                  <c:v>45029</c:v>
                </c:pt>
                <c:pt idx="7" formatCode="d\-mmm\-yy">
                  <c:v>45030</c:v>
                </c:pt>
                <c:pt idx="8" formatCode="d\-mmm\-yy">
                  <c:v>45033</c:v>
                </c:pt>
                <c:pt idx="9" formatCode="d\-mmm\-yy">
                  <c:v>45034</c:v>
                </c:pt>
                <c:pt idx="10" formatCode="d\-mmm\-yy">
                  <c:v>45035</c:v>
                </c:pt>
                <c:pt idx="11" formatCode="d\-mmm\-yy">
                  <c:v>45036</c:v>
                </c:pt>
                <c:pt idx="12" formatCode="d\-mmm\-yy">
                  <c:v>45041</c:v>
                </c:pt>
                <c:pt idx="13" formatCode="d\-mmm\-yy">
                  <c:v>45042</c:v>
                </c:pt>
                <c:pt idx="14" formatCode="d\-mmm\-yy">
                  <c:v>45043</c:v>
                </c:pt>
                <c:pt idx="15" formatCode="d\-mmm\-yy">
                  <c:v>45044</c:v>
                </c:pt>
              </c:numCache>
            </c:numRef>
          </c:cat>
          <c:val>
            <c:numRef>
              <c:f>'Liquidity and rates'!$C$273:$C$288</c:f>
              <c:numCache>
                <c:formatCode>#,##0.00</c:formatCode>
                <c:ptCount val="16"/>
                <c:pt idx="0">
                  <c:v>17.88</c:v>
                </c:pt>
                <c:pt idx="1">
                  <c:v>18.75</c:v>
                </c:pt>
                <c:pt idx="2">
                  <c:v>19</c:v>
                </c:pt>
                <c:pt idx="3">
                  <c:v>18.88</c:v>
                </c:pt>
                <c:pt idx="4">
                  <c:v>19</c:v>
                </c:pt>
                <c:pt idx="5">
                  <c:v>19</c:v>
                </c:pt>
                <c:pt idx="6">
                  <c:v>19</c:v>
                </c:pt>
                <c:pt idx="7">
                  <c:v>19</c:v>
                </c:pt>
                <c:pt idx="8">
                  <c:v>19</c:v>
                </c:pt>
                <c:pt idx="9">
                  <c:v>19</c:v>
                </c:pt>
                <c:pt idx="10">
                  <c:v>19</c:v>
                </c:pt>
                <c:pt idx="11">
                  <c:v>19</c:v>
                </c:pt>
                <c:pt idx="12">
                  <c:v>15.25</c:v>
                </c:pt>
                <c:pt idx="13">
                  <c:v>11.5</c:v>
                </c:pt>
                <c:pt idx="14">
                  <c:v>11.25</c:v>
                </c:pt>
                <c:pt idx="15">
                  <c:v>13.13</c:v>
                </c:pt>
              </c:numCache>
            </c:numRef>
          </c:val>
          <c:smooth val="1"/>
          <c:extLst>
            <c:ext xmlns:c16="http://schemas.microsoft.com/office/drawing/2014/chart" uri="{C3380CC4-5D6E-409C-BE32-E72D297353CC}">
              <c16:uniqueId val="{00000002-EECB-4386-9880-DAC8F93451C4}"/>
            </c:ext>
          </c:extLst>
        </c:ser>
        <c:dLbls>
          <c:showLegendKey val="0"/>
          <c:showVal val="0"/>
          <c:showCatName val="0"/>
          <c:showSerName val="0"/>
          <c:showPercent val="0"/>
          <c:showBubbleSize val="0"/>
        </c:dLbls>
        <c:marker val="1"/>
        <c:smooth val="0"/>
        <c:axId val="1341513807"/>
        <c:axId val="1341516303"/>
      </c:lineChart>
      <c:dateAx>
        <c:axId val="1341513807"/>
        <c:scaling>
          <c:orientation val="minMax"/>
          <c:min val="45019"/>
        </c:scaling>
        <c:delete val="0"/>
        <c:axPos val="b"/>
        <c:numFmt formatCode="[$-409]dd\-mmm\-yy;@" sourceLinked="1"/>
        <c:majorTickMark val="in"/>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en-US"/>
          </a:p>
        </c:txPr>
        <c:crossAx val="1341516303"/>
        <c:crosses val="autoZero"/>
        <c:auto val="1"/>
        <c:lblOffset val="100"/>
        <c:baseTimeUnit val="days"/>
      </c:dateAx>
      <c:valAx>
        <c:axId val="1341516303"/>
        <c:scaling>
          <c:orientation val="minMax"/>
          <c:min val="0"/>
        </c:scaling>
        <c:delete val="0"/>
        <c:axPos val="l"/>
        <c:numFmt formatCode="#,##0_);[Red]\(#,##0\)" sourceLinked="0"/>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en-US"/>
          </a:p>
        </c:txPr>
        <c:crossAx val="1341513807"/>
        <c:crosses val="autoZero"/>
        <c:crossBetween val="between"/>
      </c:valAx>
      <c:valAx>
        <c:axId val="1341517551"/>
        <c:scaling>
          <c:orientation val="minMax"/>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en-US"/>
          </a:p>
        </c:txPr>
        <c:crossAx val="1341519215"/>
        <c:crosses val="max"/>
        <c:crossBetween val="between"/>
      </c:valAx>
      <c:dateAx>
        <c:axId val="1341519215"/>
        <c:scaling>
          <c:orientation val="minMax"/>
        </c:scaling>
        <c:delete val="1"/>
        <c:axPos val="b"/>
        <c:numFmt formatCode="[$-409]dd\-mmm\-yy;@" sourceLinked="1"/>
        <c:majorTickMark val="out"/>
        <c:minorTickMark val="none"/>
        <c:tickLblPos val="nextTo"/>
        <c:crossAx val="1341517551"/>
        <c:crosses val="autoZero"/>
        <c:auto val="1"/>
        <c:lblOffset val="100"/>
        <c:baseTimeUnit val="days"/>
        <c:majorUnit val="1"/>
        <c:minorUnit val="1"/>
      </c:dateAx>
      <c:spPr>
        <a:noFill/>
        <a:ln>
          <a:noFill/>
        </a:ln>
        <a:effectLst/>
      </c:spPr>
    </c:plotArea>
    <c:legend>
      <c:legendPos val="b"/>
      <c:layout>
        <c:manualLayout>
          <c:xMode val="edge"/>
          <c:yMode val="edge"/>
          <c:x val="0.52360825089171548"/>
          <c:y val="8.6984277425407525E-4"/>
          <c:w val="0.45659512216770004"/>
          <c:h val="8.900378750124590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Candara" panose="020E0502030303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85621567538806E-2"/>
          <c:y val="0.21985722193779278"/>
          <c:w val="0.9014545056867892"/>
          <c:h val="0.54777076378200595"/>
        </c:manualLayout>
      </c:layout>
      <c:lineChart>
        <c:grouping val="standard"/>
        <c:varyColors val="0"/>
        <c:ser>
          <c:idx val="1"/>
          <c:order val="1"/>
          <c:tx>
            <c:strRef>
              <c:f>'FGN Bonds'!$C$5</c:f>
              <c:strCache>
                <c:ptCount val="1"/>
                <c:pt idx="0">
                  <c:v>2025</c:v>
                </c:pt>
              </c:strCache>
            </c:strRef>
          </c:tx>
          <c:spPr>
            <a:ln w="28575" cap="rnd">
              <a:solidFill>
                <a:schemeClr val="bg1">
                  <a:lumMod val="50000"/>
                </a:schemeClr>
              </a:solidFill>
              <a:round/>
            </a:ln>
            <a:effectLst/>
          </c:spPr>
          <c:marker>
            <c:symbol val="none"/>
          </c:marker>
          <c:cat>
            <c:numRef>
              <c:f>'FGN Bonds'!$A$9:$A$21</c:f>
              <c:numCache>
                <c:formatCode>[$-409]d\-mmm\-yy;@</c:formatCode>
                <c:ptCount val="13"/>
                <c:pt idx="0">
                  <c:v>44681</c:v>
                </c:pt>
                <c:pt idx="1">
                  <c:v>44712</c:v>
                </c:pt>
                <c:pt idx="2">
                  <c:v>44742</c:v>
                </c:pt>
                <c:pt idx="3">
                  <c:v>44773</c:v>
                </c:pt>
                <c:pt idx="4">
                  <c:v>44804</c:v>
                </c:pt>
                <c:pt idx="5">
                  <c:v>44834</c:v>
                </c:pt>
                <c:pt idx="6">
                  <c:v>44865</c:v>
                </c:pt>
                <c:pt idx="7">
                  <c:v>44895</c:v>
                </c:pt>
                <c:pt idx="8">
                  <c:v>44926</c:v>
                </c:pt>
                <c:pt idx="9">
                  <c:v>44957</c:v>
                </c:pt>
                <c:pt idx="10">
                  <c:v>44985</c:v>
                </c:pt>
                <c:pt idx="11">
                  <c:v>45016</c:v>
                </c:pt>
                <c:pt idx="12">
                  <c:v>45046</c:v>
                </c:pt>
              </c:numCache>
            </c:numRef>
          </c:cat>
          <c:val>
            <c:numRef>
              <c:f>'FGN Bonds'!$C$9:$C$21</c:f>
              <c:numCache>
                <c:formatCode>#,##0.00</c:formatCode>
                <c:ptCount val="13"/>
                <c:pt idx="0">
                  <c:v>10.000962437455829</c:v>
                </c:pt>
                <c:pt idx="1">
                  <c:v>10.203431853850233</c:v>
                </c:pt>
                <c:pt idx="2">
                  <c:v>10.071817732912379</c:v>
                </c:pt>
                <c:pt idx="3">
                  <c:v>11.417388676409116</c:v>
                </c:pt>
                <c:pt idx="4">
                  <c:v>13.034707031655888</c:v>
                </c:pt>
                <c:pt idx="5">
                  <c:v>13.721623597335888</c:v>
                </c:pt>
                <c:pt idx="6">
                  <c:v>14.420509062394007</c:v>
                </c:pt>
                <c:pt idx="7">
                  <c:v>14.082675437871748</c:v>
                </c:pt>
                <c:pt idx="8">
                  <c:v>11.834964110011652</c:v>
                </c:pt>
                <c:pt idx="9">
                  <c:v>10.97151699002983</c:v>
                </c:pt>
                <c:pt idx="10">
                  <c:v>10.272863064816152</c:v>
                </c:pt>
                <c:pt idx="11">
                  <c:v>11.013031567908321</c:v>
                </c:pt>
                <c:pt idx="12">
                  <c:v>11.098761556257786</c:v>
                </c:pt>
              </c:numCache>
            </c:numRef>
          </c:val>
          <c:smooth val="1"/>
          <c:extLst>
            <c:ext xmlns:c16="http://schemas.microsoft.com/office/drawing/2014/chart" uri="{C3380CC4-5D6E-409C-BE32-E72D297353CC}">
              <c16:uniqueId val="{00000000-768E-446D-8B87-DFAB3347AE9C}"/>
            </c:ext>
          </c:extLst>
        </c:ser>
        <c:ser>
          <c:idx val="2"/>
          <c:order val="2"/>
          <c:tx>
            <c:strRef>
              <c:f>'FGN Bonds'!$D$5</c:f>
              <c:strCache>
                <c:ptCount val="1"/>
                <c:pt idx="0">
                  <c:v>2027</c:v>
                </c:pt>
              </c:strCache>
            </c:strRef>
          </c:tx>
          <c:spPr>
            <a:ln w="28575" cap="rnd">
              <a:solidFill>
                <a:schemeClr val="accent3"/>
              </a:solidFill>
              <a:round/>
            </a:ln>
            <a:effectLst/>
          </c:spPr>
          <c:marker>
            <c:symbol val="none"/>
          </c:marker>
          <c:cat>
            <c:numRef>
              <c:f>'FGN Bonds'!$A$9:$A$21</c:f>
              <c:numCache>
                <c:formatCode>[$-409]d\-mmm\-yy;@</c:formatCode>
                <c:ptCount val="13"/>
                <c:pt idx="0">
                  <c:v>44681</c:v>
                </c:pt>
                <c:pt idx="1">
                  <c:v>44712</c:v>
                </c:pt>
                <c:pt idx="2">
                  <c:v>44742</c:v>
                </c:pt>
                <c:pt idx="3">
                  <c:v>44773</c:v>
                </c:pt>
                <c:pt idx="4">
                  <c:v>44804</c:v>
                </c:pt>
                <c:pt idx="5">
                  <c:v>44834</c:v>
                </c:pt>
                <c:pt idx="6">
                  <c:v>44865</c:v>
                </c:pt>
                <c:pt idx="7">
                  <c:v>44895</c:v>
                </c:pt>
                <c:pt idx="8">
                  <c:v>44926</c:v>
                </c:pt>
                <c:pt idx="9">
                  <c:v>44957</c:v>
                </c:pt>
                <c:pt idx="10">
                  <c:v>44985</c:v>
                </c:pt>
                <c:pt idx="11">
                  <c:v>45016</c:v>
                </c:pt>
                <c:pt idx="12">
                  <c:v>45046</c:v>
                </c:pt>
              </c:numCache>
            </c:numRef>
          </c:cat>
          <c:val>
            <c:numRef>
              <c:f>'FGN Bonds'!$D$9:$D$21</c:f>
              <c:numCache>
                <c:formatCode>#,##0.00</c:formatCode>
                <c:ptCount val="13"/>
                <c:pt idx="0">
                  <c:v>10.815357534985349</c:v>
                </c:pt>
                <c:pt idx="1">
                  <c:v>10.994505217412264</c:v>
                </c:pt>
                <c:pt idx="2">
                  <c:v>10.706269432158644</c:v>
                </c:pt>
                <c:pt idx="3">
                  <c:v>11.740303557703431</c:v>
                </c:pt>
                <c:pt idx="4">
                  <c:v>13.048890499569927</c:v>
                </c:pt>
                <c:pt idx="5">
                  <c:v>13.072997520073315</c:v>
                </c:pt>
                <c:pt idx="6">
                  <c:v>14.40456847956774</c:v>
                </c:pt>
                <c:pt idx="7">
                  <c:v>14.249338863606356</c:v>
                </c:pt>
                <c:pt idx="8">
                  <c:v>13.927779819338118</c:v>
                </c:pt>
                <c:pt idx="9">
                  <c:v>13.363530597053666</c:v>
                </c:pt>
                <c:pt idx="10">
                  <c:v>13.04352836562569</c:v>
                </c:pt>
                <c:pt idx="11">
                  <c:v>12.7277868203557</c:v>
                </c:pt>
                <c:pt idx="12">
                  <c:v>12.856725516289572</c:v>
                </c:pt>
              </c:numCache>
            </c:numRef>
          </c:val>
          <c:smooth val="1"/>
          <c:extLst>
            <c:ext xmlns:c16="http://schemas.microsoft.com/office/drawing/2014/chart" uri="{C3380CC4-5D6E-409C-BE32-E72D297353CC}">
              <c16:uniqueId val="{00000001-768E-446D-8B87-DFAB3347AE9C}"/>
            </c:ext>
          </c:extLst>
        </c:ser>
        <c:ser>
          <c:idx val="3"/>
          <c:order val="3"/>
          <c:tx>
            <c:strRef>
              <c:f>'FGN Bonds'!$E$5</c:f>
              <c:strCache>
                <c:ptCount val="1"/>
                <c:pt idx="0">
                  <c:v>2028</c:v>
                </c:pt>
              </c:strCache>
            </c:strRef>
          </c:tx>
          <c:spPr>
            <a:ln w="28575" cap="rnd">
              <a:solidFill>
                <a:schemeClr val="accent4"/>
              </a:solidFill>
              <a:round/>
            </a:ln>
            <a:effectLst/>
          </c:spPr>
          <c:marker>
            <c:symbol val="none"/>
          </c:marker>
          <c:cat>
            <c:numRef>
              <c:f>'FGN Bonds'!$A$9:$A$21</c:f>
              <c:numCache>
                <c:formatCode>[$-409]d\-mmm\-yy;@</c:formatCode>
                <c:ptCount val="13"/>
                <c:pt idx="0">
                  <c:v>44681</c:v>
                </c:pt>
                <c:pt idx="1">
                  <c:v>44712</c:v>
                </c:pt>
                <c:pt idx="2">
                  <c:v>44742</c:v>
                </c:pt>
                <c:pt idx="3">
                  <c:v>44773</c:v>
                </c:pt>
                <c:pt idx="4">
                  <c:v>44804</c:v>
                </c:pt>
                <c:pt idx="5">
                  <c:v>44834</c:v>
                </c:pt>
                <c:pt idx="6">
                  <c:v>44865</c:v>
                </c:pt>
                <c:pt idx="7">
                  <c:v>44895</c:v>
                </c:pt>
                <c:pt idx="8">
                  <c:v>44926</c:v>
                </c:pt>
                <c:pt idx="9">
                  <c:v>44957</c:v>
                </c:pt>
                <c:pt idx="10">
                  <c:v>44985</c:v>
                </c:pt>
                <c:pt idx="11">
                  <c:v>45016</c:v>
                </c:pt>
                <c:pt idx="12">
                  <c:v>45046</c:v>
                </c:pt>
              </c:numCache>
            </c:numRef>
          </c:cat>
          <c:val>
            <c:numRef>
              <c:f>'FGN Bonds'!$E$9:$E$21</c:f>
              <c:numCache>
                <c:formatCode>#,##0.00</c:formatCode>
                <c:ptCount val="13"/>
                <c:pt idx="0">
                  <c:v>11.000374397074337</c:v>
                </c:pt>
                <c:pt idx="1">
                  <c:v>11.050085046402778</c:v>
                </c:pt>
                <c:pt idx="2">
                  <c:v>10.77280938397208</c:v>
                </c:pt>
                <c:pt idx="3">
                  <c:v>11.39365130977875</c:v>
                </c:pt>
                <c:pt idx="4">
                  <c:v>12.809578446356268</c:v>
                </c:pt>
                <c:pt idx="5">
                  <c:v>13.749675010620665</c:v>
                </c:pt>
                <c:pt idx="6">
                  <c:v>14.399978978387681</c:v>
                </c:pt>
                <c:pt idx="7">
                  <c:v>14.302439313238787</c:v>
                </c:pt>
                <c:pt idx="8">
                  <c:v>12.918016114723754</c:v>
                </c:pt>
                <c:pt idx="9">
                  <c:v>14.043592625068669</c:v>
                </c:pt>
                <c:pt idx="10">
                  <c:v>13.947553800497897</c:v>
                </c:pt>
                <c:pt idx="11">
                  <c:v>14.000961024562672</c:v>
                </c:pt>
                <c:pt idx="12">
                  <c:v>14.068012262222481</c:v>
                </c:pt>
              </c:numCache>
            </c:numRef>
          </c:val>
          <c:smooth val="1"/>
          <c:extLst>
            <c:ext xmlns:c16="http://schemas.microsoft.com/office/drawing/2014/chart" uri="{C3380CC4-5D6E-409C-BE32-E72D297353CC}">
              <c16:uniqueId val="{00000002-768E-446D-8B87-DFAB3347AE9C}"/>
            </c:ext>
          </c:extLst>
        </c:ser>
        <c:ser>
          <c:idx val="7"/>
          <c:order val="7"/>
          <c:tx>
            <c:strRef>
              <c:f>'FGN Bonds'!$I$5</c:f>
              <c:strCache>
                <c:ptCount val="1"/>
                <c:pt idx="0">
                  <c:v>2037</c:v>
                </c:pt>
              </c:strCache>
            </c:strRef>
          </c:tx>
          <c:spPr>
            <a:ln w="28575" cap="rnd">
              <a:solidFill>
                <a:schemeClr val="accent2">
                  <a:lumMod val="75000"/>
                </a:schemeClr>
              </a:solidFill>
              <a:round/>
            </a:ln>
            <a:effectLst/>
          </c:spPr>
          <c:marker>
            <c:symbol val="none"/>
          </c:marker>
          <c:cat>
            <c:numRef>
              <c:f>'FGN Bonds'!$A$9:$A$21</c:f>
              <c:numCache>
                <c:formatCode>[$-409]d\-mmm\-yy;@</c:formatCode>
                <c:ptCount val="13"/>
                <c:pt idx="0">
                  <c:v>44681</c:v>
                </c:pt>
                <c:pt idx="1">
                  <c:v>44712</c:v>
                </c:pt>
                <c:pt idx="2">
                  <c:v>44742</c:v>
                </c:pt>
                <c:pt idx="3">
                  <c:v>44773</c:v>
                </c:pt>
                <c:pt idx="4">
                  <c:v>44804</c:v>
                </c:pt>
                <c:pt idx="5">
                  <c:v>44834</c:v>
                </c:pt>
                <c:pt idx="6">
                  <c:v>44865</c:v>
                </c:pt>
                <c:pt idx="7">
                  <c:v>44895</c:v>
                </c:pt>
                <c:pt idx="8">
                  <c:v>44926</c:v>
                </c:pt>
                <c:pt idx="9">
                  <c:v>44957</c:v>
                </c:pt>
                <c:pt idx="10">
                  <c:v>44985</c:v>
                </c:pt>
                <c:pt idx="11">
                  <c:v>45016</c:v>
                </c:pt>
                <c:pt idx="12">
                  <c:v>45046</c:v>
                </c:pt>
              </c:numCache>
            </c:numRef>
          </c:cat>
          <c:val>
            <c:numRef>
              <c:f>'FGN Bonds'!$I$9:$I$21</c:f>
              <c:numCache>
                <c:formatCode>#,##0.00</c:formatCode>
                <c:ptCount val="13"/>
                <c:pt idx="0">
                  <c:v>12.470611118241132</c:v>
                </c:pt>
                <c:pt idx="1">
                  <c:v>12.845074178601029</c:v>
                </c:pt>
                <c:pt idx="2">
                  <c:v>12.464901130524265</c:v>
                </c:pt>
                <c:pt idx="3">
                  <c:v>12.525696752674859</c:v>
                </c:pt>
                <c:pt idx="4">
                  <c:v>13.457783696036374</c:v>
                </c:pt>
                <c:pt idx="5">
                  <c:v>15.269352576555089</c:v>
                </c:pt>
                <c:pt idx="6">
                  <c:v>16.085032561306463</c:v>
                </c:pt>
                <c:pt idx="7">
                  <c:v>16.121116486515451</c:v>
                </c:pt>
                <c:pt idx="8">
                  <c:v>14.619599661252803</c:v>
                </c:pt>
                <c:pt idx="9">
                  <c:v>15.849742852608642</c:v>
                </c:pt>
                <c:pt idx="10">
                  <c:v>15.721309225231447</c:v>
                </c:pt>
                <c:pt idx="11">
                  <c:v>15.098940307603561</c:v>
                </c:pt>
                <c:pt idx="12">
                  <c:v>15.234640046115439</c:v>
                </c:pt>
              </c:numCache>
            </c:numRef>
          </c:val>
          <c:smooth val="1"/>
          <c:extLst xmlns:c15="http://schemas.microsoft.com/office/drawing/2012/chart">
            <c:ext xmlns:c16="http://schemas.microsoft.com/office/drawing/2014/chart" uri="{C3380CC4-5D6E-409C-BE32-E72D297353CC}">
              <c16:uniqueId val="{00000003-768E-446D-8B87-DFAB3347AE9C}"/>
            </c:ext>
          </c:extLst>
        </c:ser>
        <c:ser>
          <c:idx val="8"/>
          <c:order val="8"/>
          <c:tx>
            <c:strRef>
              <c:f>'FGN Bonds'!$J$5</c:f>
              <c:strCache>
                <c:ptCount val="1"/>
                <c:pt idx="0">
                  <c:v>2042</c:v>
                </c:pt>
              </c:strCache>
            </c:strRef>
          </c:tx>
          <c:spPr>
            <a:ln w="28575" cap="rnd">
              <a:solidFill>
                <a:schemeClr val="accent3">
                  <a:lumMod val="60000"/>
                </a:schemeClr>
              </a:solidFill>
              <a:round/>
            </a:ln>
            <a:effectLst/>
          </c:spPr>
          <c:marker>
            <c:symbol val="none"/>
          </c:marker>
          <c:cat>
            <c:numRef>
              <c:f>'FGN Bonds'!$A$9:$A$21</c:f>
              <c:numCache>
                <c:formatCode>[$-409]d\-mmm\-yy;@</c:formatCode>
                <c:ptCount val="13"/>
                <c:pt idx="0">
                  <c:v>44681</c:v>
                </c:pt>
                <c:pt idx="1">
                  <c:v>44712</c:v>
                </c:pt>
                <c:pt idx="2">
                  <c:v>44742</c:v>
                </c:pt>
                <c:pt idx="3">
                  <c:v>44773</c:v>
                </c:pt>
                <c:pt idx="4">
                  <c:v>44804</c:v>
                </c:pt>
                <c:pt idx="5">
                  <c:v>44834</c:v>
                </c:pt>
                <c:pt idx="6">
                  <c:v>44865</c:v>
                </c:pt>
                <c:pt idx="7">
                  <c:v>44895</c:v>
                </c:pt>
                <c:pt idx="8">
                  <c:v>44926</c:v>
                </c:pt>
                <c:pt idx="9">
                  <c:v>44957</c:v>
                </c:pt>
                <c:pt idx="10">
                  <c:v>44985</c:v>
                </c:pt>
                <c:pt idx="11">
                  <c:v>45016</c:v>
                </c:pt>
                <c:pt idx="12">
                  <c:v>45046</c:v>
                </c:pt>
              </c:numCache>
            </c:numRef>
          </c:cat>
          <c:val>
            <c:numRef>
              <c:f>'FGN Bonds'!$J$9:$J$21</c:f>
              <c:numCache>
                <c:formatCode>#,##0.00</c:formatCode>
                <c:ptCount val="13"/>
                <c:pt idx="0">
                  <c:v>12.695131708080948</c:v>
                </c:pt>
                <c:pt idx="1">
                  <c:v>13.150107264321829</c:v>
                </c:pt>
                <c:pt idx="2">
                  <c:v>13.029009473871206</c:v>
                </c:pt>
                <c:pt idx="3">
                  <c:v>13.660203326859181</c:v>
                </c:pt>
                <c:pt idx="4">
                  <c:v>13.999591856529461</c:v>
                </c:pt>
                <c:pt idx="5">
                  <c:v>14.05285947563422</c:v>
                </c:pt>
                <c:pt idx="6">
                  <c:v>14.80037461636868</c:v>
                </c:pt>
                <c:pt idx="7">
                  <c:v>14.730258113703016</c:v>
                </c:pt>
                <c:pt idx="8">
                  <c:v>13.851226764990448</c:v>
                </c:pt>
                <c:pt idx="9">
                  <c:v>15.147475568780902</c:v>
                </c:pt>
                <c:pt idx="10">
                  <c:v>15.082242042316112</c:v>
                </c:pt>
                <c:pt idx="11">
                  <c:v>15.136269096089231</c:v>
                </c:pt>
                <c:pt idx="12">
                  <c:v>15.357435194564371</c:v>
                </c:pt>
              </c:numCache>
            </c:numRef>
          </c:val>
          <c:smooth val="0"/>
          <c:extLst xmlns:c15="http://schemas.microsoft.com/office/drawing/2012/chart">
            <c:ext xmlns:c16="http://schemas.microsoft.com/office/drawing/2014/chart" uri="{C3380CC4-5D6E-409C-BE32-E72D297353CC}">
              <c16:uniqueId val="{00000004-768E-446D-8B87-DFAB3347AE9C}"/>
            </c:ext>
          </c:extLst>
        </c:ser>
        <c:ser>
          <c:idx val="9"/>
          <c:order val="9"/>
          <c:tx>
            <c:strRef>
              <c:f>'FGN Bonds'!$K$5</c:f>
              <c:strCache>
                <c:ptCount val="1"/>
                <c:pt idx="0">
                  <c:v>2049</c:v>
                </c:pt>
              </c:strCache>
            </c:strRef>
          </c:tx>
          <c:spPr>
            <a:ln w="28575" cap="rnd">
              <a:solidFill>
                <a:schemeClr val="accent4">
                  <a:lumMod val="60000"/>
                </a:schemeClr>
              </a:solidFill>
              <a:round/>
            </a:ln>
            <a:effectLst/>
          </c:spPr>
          <c:marker>
            <c:symbol val="none"/>
          </c:marker>
          <c:cat>
            <c:numRef>
              <c:f>'FGN Bonds'!$A$9:$A$21</c:f>
              <c:numCache>
                <c:formatCode>[$-409]d\-mmm\-yy;@</c:formatCode>
                <c:ptCount val="13"/>
                <c:pt idx="0">
                  <c:v>44681</c:v>
                </c:pt>
                <c:pt idx="1">
                  <c:v>44712</c:v>
                </c:pt>
                <c:pt idx="2">
                  <c:v>44742</c:v>
                </c:pt>
                <c:pt idx="3">
                  <c:v>44773</c:v>
                </c:pt>
                <c:pt idx="4">
                  <c:v>44804</c:v>
                </c:pt>
                <c:pt idx="5">
                  <c:v>44834</c:v>
                </c:pt>
                <c:pt idx="6">
                  <c:v>44865</c:v>
                </c:pt>
                <c:pt idx="7">
                  <c:v>44895</c:v>
                </c:pt>
                <c:pt idx="8">
                  <c:v>44926</c:v>
                </c:pt>
                <c:pt idx="9">
                  <c:v>44957</c:v>
                </c:pt>
                <c:pt idx="10">
                  <c:v>44985</c:v>
                </c:pt>
                <c:pt idx="11">
                  <c:v>45016</c:v>
                </c:pt>
                <c:pt idx="12">
                  <c:v>45046</c:v>
                </c:pt>
              </c:numCache>
            </c:numRef>
          </c:cat>
          <c:val>
            <c:numRef>
              <c:f>'FGN Bonds'!$K$9:$K$21</c:f>
              <c:numCache>
                <c:formatCode>#,##0.00</c:formatCode>
                <c:ptCount val="13"/>
                <c:pt idx="0">
                  <c:v>12.906033038559499</c:v>
                </c:pt>
                <c:pt idx="1">
                  <c:v>13.090327965133408</c:v>
                </c:pt>
                <c:pt idx="2">
                  <c:v>12.939805047019789</c:v>
                </c:pt>
                <c:pt idx="3">
                  <c:v>13.499566184845138</c:v>
                </c:pt>
                <c:pt idx="4">
                  <c:v>13.589011375581986</c:v>
                </c:pt>
                <c:pt idx="5">
                  <c:v>13.725274489342718</c:v>
                </c:pt>
                <c:pt idx="6">
                  <c:v>14.927813388010122</c:v>
                </c:pt>
                <c:pt idx="7">
                  <c:v>14.549416374046913</c:v>
                </c:pt>
                <c:pt idx="8">
                  <c:v>14.318637586367281</c:v>
                </c:pt>
                <c:pt idx="9">
                  <c:v>16.000231903421533</c:v>
                </c:pt>
                <c:pt idx="10">
                  <c:v>15.868229098122832</c:v>
                </c:pt>
                <c:pt idx="11">
                  <c:v>15.688920385181444</c:v>
                </c:pt>
                <c:pt idx="12">
                  <c:v>15.379357783219373</c:v>
                </c:pt>
              </c:numCache>
            </c:numRef>
          </c:val>
          <c:smooth val="0"/>
          <c:extLst>
            <c:ext xmlns:c16="http://schemas.microsoft.com/office/drawing/2014/chart" uri="{C3380CC4-5D6E-409C-BE32-E72D297353CC}">
              <c16:uniqueId val="{00000005-768E-446D-8B87-DFAB3347AE9C}"/>
            </c:ext>
          </c:extLst>
        </c:ser>
        <c:ser>
          <c:idx val="10"/>
          <c:order val="10"/>
          <c:tx>
            <c:strRef>
              <c:f>'FGN Bonds'!$L$5</c:f>
              <c:strCache>
                <c:ptCount val="1"/>
                <c:pt idx="0">
                  <c:v>2050</c:v>
                </c:pt>
              </c:strCache>
            </c:strRef>
          </c:tx>
          <c:spPr>
            <a:ln w="28575" cap="rnd">
              <a:solidFill>
                <a:schemeClr val="accent5">
                  <a:lumMod val="60000"/>
                </a:schemeClr>
              </a:solidFill>
              <a:round/>
            </a:ln>
            <a:effectLst/>
          </c:spPr>
          <c:marker>
            <c:symbol val="none"/>
          </c:marker>
          <c:cat>
            <c:numRef>
              <c:f>'FGN Bonds'!$A$9:$A$21</c:f>
              <c:numCache>
                <c:formatCode>[$-409]d\-mmm\-yy;@</c:formatCode>
                <c:ptCount val="13"/>
                <c:pt idx="0">
                  <c:v>44681</c:v>
                </c:pt>
                <c:pt idx="1">
                  <c:v>44712</c:v>
                </c:pt>
                <c:pt idx="2">
                  <c:v>44742</c:v>
                </c:pt>
                <c:pt idx="3">
                  <c:v>44773</c:v>
                </c:pt>
                <c:pt idx="4">
                  <c:v>44804</c:v>
                </c:pt>
                <c:pt idx="5">
                  <c:v>44834</c:v>
                </c:pt>
                <c:pt idx="6">
                  <c:v>44865</c:v>
                </c:pt>
                <c:pt idx="7">
                  <c:v>44895</c:v>
                </c:pt>
                <c:pt idx="8">
                  <c:v>44926</c:v>
                </c:pt>
                <c:pt idx="9">
                  <c:v>44957</c:v>
                </c:pt>
                <c:pt idx="10">
                  <c:v>44985</c:v>
                </c:pt>
                <c:pt idx="11">
                  <c:v>45016</c:v>
                </c:pt>
                <c:pt idx="12">
                  <c:v>45046</c:v>
                </c:pt>
              </c:numCache>
            </c:numRef>
          </c:cat>
          <c:val>
            <c:numRef>
              <c:f>'FGN Bonds'!$L$9:$L$21</c:f>
              <c:numCache>
                <c:formatCode>#,##0.00</c:formatCode>
                <c:ptCount val="13"/>
                <c:pt idx="0">
                  <c:v>12.932692673184503</c:v>
                </c:pt>
                <c:pt idx="1">
                  <c:v>13.067961244837441</c:v>
                </c:pt>
                <c:pt idx="2">
                  <c:v>13.15046196172095</c:v>
                </c:pt>
                <c:pt idx="3">
                  <c:v>13.48997763804871</c:v>
                </c:pt>
                <c:pt idx="4">
                  <c:v>13.646083480268526</c:v>
                </c:pt>
                <c:pt idx="5">
                  <c:v>14.340163558397471</c:v>
                </c:pt>
                <c:pt idx="6">
                  <c:v>14.949257111832148</c:v>
                </c:pt>
                <c:pt idx="7">
                  <c:v>14.723500403639884</c:v>
                </c:pt>
                <c:pt idx="8">
                  <c:v>14.000324757271532</c:v>
                </c:pt>
                <c:pt idx="9">
                  <c:v>14.958263091452839</c:v>
                </c:pt>
                <c:pt idx="10">
                  <c:v>15.200168902960431</c:v>
                </c:pt>
                <c:pt idx="11">
                  <c:v>15.465879863667492</c:v>
                </c:pt>
                <c:pt idx="12">
                  <c:v>15.460444957767367</c:v>
                </c:pt>
              </c:numCache>
            </c:numRef>
          </c:val>
          <c:smooth val="0"/>
          <c:extLst>
            <c:ext xmlns:c16="http://schemas.microsoft.com/office/drawing/2014/chart" uri="{C3380CC4-5D6E-409C-BE32-E72D297353CC}">
              <c16:uniqueId val="{00000006-768E-446D-8B87-DFAB3347AE9C}"/>
            </c:ext>
          </c:extLst>
        </c:ser>
        <c:dLbls>
          <c:showLegendKey val="0"/>
          <c:showVal val="0"/>
          <c:showCatName val="0"/>
          <c:showSerName val="0"/>
          <c:showPercent val="0"/>
          <c:showBubbleSize val="0"/>
        </c:dLbls>
        <c:smooth val="0"/>
        <c:axId val="308635535"/>
        <c:axId val="308645103"/>
        <c:extLst>
          <c:ext xmlns:c15="http://schemas.microsoft.com/office/drawing/2012/chart" uri="{02D57815-91ED-43cb-92C2-25804820EDAC}">
            <c15:filteredLineSeries>
              <c15:ser>
                <c:idx val="0"/>
                <c:order val="0"/>
                <c:tx>
                  <c:strRef>
                    <c:extLst>
                      <c:ext uri="{02D57815-91ED-43cb-92C2-25804820EDAC}">
                        <c15:formulaRef>
                          <c15:sqref>'FGN Bonds'!$B$5</c15:sqref>
                        </c15:formulaRef>
                      </c:ext>
                    </c:extLst>
                    <c:strCache>
                      <c:ptCount val="1"/>
                      <c:pt idx="0">
                        <c:v>2024</c:v>
                      </c:pt>
                    </c:strCache>
                  </c:strRef>
                </c:tx>
                <c:spPr>
                  <a:ln w="28575" cap="rnd">
                    <a:solidFill>
                      <a:schemeClr val="accent1"/>
                    </a:solidFill>
                    <a:round/>
                  </a:ln>
                  <a:effectLst/>
                </c:spPr>
                <c:marker>
                  <c:symbol val="none"/>
                </c:marker>
                <c:cat>
                  <c:numRef>
                    <c:extLst>
                      <c:ext uri="{02D57815-91ED-43cb-92C2-25804820EDAC}">
                        <c15:formulaRef>
                          <c15:sqref>'FGN Bonds'!$A$9:$A$21</c15:sqref>
                        </c15:formulaRef>
                      </c:ext>
                    </c:extLst>
                    <c:numCache>
                      <c:formatCode>[$-409]d\-mmm\-yy;@</c:formatCode>
                      <c:ptCount val="13"/>
                      <c:pt idx="0">
                        <c:v>44681</c:v>
                      </c:pt>
                      <c:pt idx="1">
                        <c:v>44712</c:v>
                      </c:pt>
                      <c:pt idx="2">
                        <c:v>44742</c:v>
                      </c:pt>
                      <c:pt idx="3">
                        <c:v>44773</c:v>
                      </c:pt>
                      <c:pt idx="4">
                        <c:v>44804</c:v>
                      </c:pt>
                      <c:pt idx="5">
                        <c:v>44834</c:v>
                      </c:pt>
                      <c:pt idx="6">
                        <c:v>44865</c:v>
                      </c:pt>
                      <c:pt idx="7">
                        <c:v>44895</c:v>
                      </c:pt>
                      <c:pt idx="8">
                        <c:v>44926</c:v>
                      </c:pt>
                      <c:pt idx="9">
                        <c:v>44957</c:v>
                      </c:pt>
                      <c:pt idx="10">
                        <c:v>44985</c:v>
                      </c:pt>
                      <c:pt idx="11">
                        <c:v>45016</c:v>
                      </c:pt>
                      <c:pt idx="12">
                        <c:v>45046</c:v>
                      </c:pt>
                    </c:numCache>
                  </c:numRef>
                </c:cat>
                <c:val>
                  <c:numRef>
                    <c:extLst>
                      <c:ext uri="{02D57815-91ED-43cb-92C2-25804820EDAC}">
                        <c15:formulaRef>
                          <c15:sqref>'FGN Bonds'!$B$9:$B$21</c15:sqref>
                        </c15:formulaRef>
                      </c:ext>
                    </c:extLst>
                    <c:numCache>
                      <c:formatCode>#,##0.00</c:formatCode>
                      <c:ptCount val="13"/>
                      <c:pt idx="0">
                        <c:v>7.8495128132773901</c:v>
                      </c:pt>
                      <c:pt idx="1">
                        <c:v>7.5948560517660777</c:v>
                      </c:pt>
                      <c:pt idx="2">
                        <c:v>8.0605307103108057</c:v>
                      </c:pt>
                      <c:pt idx="3">
                        <c:v>10.83191730620433</c:v>
                      </c:pt>
                      <c:pt idx="4">
                        <c:v>11.638838998264204</c:v>
                      </c:pt>
                      <c:pt idx="5">
                        <c:v>12.12388464283452</c:v>
                      </c:pt>
                      <c:pt idx="6">
                        <c:v>14.44636442030926</c:v>
                      </c:pt>
                      <c:pt idx="7">
                        <c:v>14.294198418043971</c:v>
                      </c:pt>
                      <c:pt idx="8">
                        <c:v>11.72311235257027</c:v>
                      </c:pt>
                      <c:pt idx="9">
                        <c:v>8.0010427176329149</c:v>
                      </c:pt>
                      <c:pt idx="10">
                        <c:v>7.5171951752424633</c:v>
                      </c:pt>
                      <c:pt idx="11">
                        <c:v>11.577999999999999</c:v>
                      </c:pt>
                      <c:pt idx="12">
                        <c:v>11.016999999999999</c:v>
                      </c:pt>
                    </c:numCache>
                  </c:numRef>
                </c:val>
                <c:smooth val="1"/>
                <c:extLst>
                  <c:ext xmlns:c16="http://schemas.microsoft.com/office/drawing/2014/chart" uri="{C3380CC4-5D6E-409C-BE32-E72D297353CC}">
                    <c16:uniqueId val="{00000007-768E-446D-8B87-DFAB3347AE9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'FGN Bonds'!$F$5</c15:sqref>
                        </c15:formulaRef>
                      </c:ext>
                    </c:extLst>
                    <c:strCache>
                      <c:ptCount val="1"/>
                      <c:pt idx="0">
                        <c:v>2032</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'FGN Bonds'!$A$9:$A$21</c15:sqref>
                        </c15:formulaRef>
                      </c:ext>
                    </c:extLst>
                    <c:numCache>
                      <c:formatCode>[$-409]d\-mmm\-yy;@</c:formatCode>
                      <c:ptCount val="13"/>
                      <c:pt idx="0">
                        <c:v>44681</c:v>
                      </c:pt>
                      <c:pt idx="1">
                        <c:v>44712</c:v>
                      </c:pt>
                      <c:pt idx="2">
                        <c:v>44742</c:v>
                      </c:pt>
                      <c:pt idx="3">
                        <c:v>44773</c:v>
                      </c:pt>
                      <c:pt idx="4">
                        <c:v>44804</c:v>
                      </c:pt>
                      <c:pt idx="5">
                        <c:v>44834</c:v>
                      </c:pt>
                      <c:pt idx="6">
                        <c:v>44865</c:v>
                      </c:pt>
                      <c:pt idx="7">
                        <c:v>44895</c:v>
                      </c:pt>
                      <c:pt idx="8">
                        <c:v>44926</c:v>
                      </c:pt>
                      <c:pt idx="9">
                        <c:v>44957</c:v>
                      </c:pt>
                      <c:pt idx="10">
                        <c:v>44985</c:v>
                      </c:pt>
                      <c:pt idx="11">
                        <c:v>45016</c:v>
                      </c:pt>
                      <c:pt idx="12">
                        <c:v>45046</c:v>
                      </c:pt>
                    </c:numCache>
                  </c:numRef>
                </c:cat>
                <c:val>
                  <c:numRef>
                    <c:extLst xmlns:c15="http://schemas.microsoft.com/office/drawing/2012/chart">
                      <c:ext xmlns:c15="http://schemas.microsoft.com/office/drawing/2012/chart" uri="{02D57815-91ED-43cb-92C2-25804820EDAC}">
                        <c15:formulaRef>
                          <c15:sqref>'FGN Bonds'!$F$9:$F$21</c15:sqref>
                        </c15:formulaRef>
                      </c:ext>
                    </c:extLst>
                    <c:numCache>
                      <c:formatCode>#,##0.00</c:formatCode>
                      <c:ptCount val="13"/>
                      <c:pt idx="0">
                        <c:v>12.483000000000001</c:v>
                      </c:pt>
                      <c:pt idx="1">
                        <c:v>12.515000000000001</c:v>
                      </c:pt>
                      <c:pt idx="2">
                        <c:v>12.464</c:v>
                      </c:pt>
                      <c:pt idx="3">
                        <c:v>12.95</c:v>
                      </c:pt>
                      <c:pt idx="4">
                        <c:v>13.45</c:v>
                      </c:pt>
                      <c:pt idx="5">
                        <c:v>14.1</c:v>
                      </c:pt>
                      <c:pt idx="6">
                        <c:v>15.228</c:v>
                      </c:pt>
                      <c:pt idx="7">
                        <c:v>15.077999999999999</c:v>
                      </c:pt>
                      <c:pt idx="8">
                        <c:v>13.436999999999999</c:v>
                      </c:pt>
                      <c:pt idx="9">
                        <c:v>14.895</c:v>
                      </c:pt>
                      <c:pt idx="10">
                        <c:v>14.906000000000001</c:v>
                      </c:pt>
                      <c:pt idx="11">
                        <c:v>14.74793624404295</c:v>
                      </c:pt>
                      <c:pt idx="12">
                        <c:v>14.730907397664794</c:v>
                      </c:pt>
                    </c:numCache>
                  </c:numRef>
                </c:val>
                <c:smooth val="0"/>
                <c:extLst xmlns:c15="http://schemas.microsoft.com/office/drawing/2012/chart">
                  <c:ext xmlns:c16="http://schemas.microsoft.com/office/drawing/2014/chart" uri="{C3380CC4-5D6E-409C-BE32-E72D297353CC}">
                    <c16:uniqueId val="{00000008-768E-446D-8B87-DFAB3347AE9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'FGN Bonds'!$G$5</c15:sqref>
                        </c15:formulaRef>
                      </c:ext>
                    </c:extLst>
                    <c:strCache>
                      <c:ptCount val="1"/>
                      <c:pt idx="0">
                        <c:v>2035</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'FGN Bonds'!$A$9:$A$21</c15:sqref>
                        </c15:formulaRef>
                      </c:ext>
                    </c:extLst>
                    <c:numCache>
                      <c:formatCode>[$-409]d\-mmm\-yy;@</c:formatCode>
                      <c:ptCount val="13"/>
                      <c:pt idx="0">
                        <c:v>44681</c:v>
                      </c:pt>
                      <c:pt idx="1">
                        <c:v>44712</c:v>
                      </c:pt>
                      <c:pt idx="2">
                        <c:v>44742</c:v>
                      </c:pt>
                      <c:pt idx="3">
                        <c:v>44773</c:v>
                      </c:pt>
                      <c:pt idx="4">
                        <c:v>44804</c:v>
                      </c:pt>
                      <c:pt idx="5">
                        <c:v>44834</c:v>
                      </c:pt>
                      <c:pt idx="6">
                        <c:v>44865</c:v>
                      </c:pt>
                      <c:pt idx="7">
                        <c:v>44895</c:v>
                      </c:pt>
                      <c:pt idx="8">
                        <c:v>44926</c:v>
                      </c:pt>
                      <c:pt idx="9">
                        <c:v>44957</c:v>
                      </c:pt>
                      <c:pt idx="10">
                        <c:v>44985</c:v>
                      </c:pt>
                      <c:pt idx="11">
                        <c:v>45016</c:v>
                      </c:pt>
                      <c:pt idx="12">
                        <c:v>45046</c:v>
                      </c:pt>
                    </c:numCache>
                  </c:numRef>
                </c:cat>
                <c:val>
                  <c:numRef>
                    <c:extLst xmlns:c15="http://schemas.microsoft.com/office/drawing/2012/chart">
                      <c:ext xmlns:c15="http://schemas.microsoft.com/office/drawing/2012/chart" uri="{02D57815-91ED-43cb-92C2-25804820EDAC}">
                        <c15:formulaRef>
                          <c15:sqref>'FGN Bonds'!$G$9:$G$21</c15:sqref>
                        </c15:formulaRef>
                      </c:ext>
                    </c:extLst>
                    <c:numCache>
                      <c:formatCode>#,##0.00</c:formatCode>
                      <c:ptCount val="13"/>
                      <c:pt idx="0">
                        <c:v>12.399740999219857</c:v>
                      </c:pt>
                      <c:pt idx="1">
                        <c:v>12.599758964675829</c:v>
                      </c:pt>
                      <c:pt idx="2">
                        <c:v>12.440249190609565</c:v>
                      </c:pt>
                      <c:pt idx="3">
                        <c:v>12.702264554525341</c:v>
                      </c:pt>
                      <c:pt idx="4">
                        <c:v>13.159951032829348</c:v>
                      </c:pt>
                      <c:pt idx="5">
                        <c:v>13.461012141338832</c:v>
                      </c:pt>
                      <c:pt idx="6">
                        <c:v>14.599419929512122</c:v>
                      </c:pt>
                      <c:pt idx="7">
                        <c:v>14.751173679040933</c:v>
                      </c:pt>
                      <c:pt idx="8">
                        <c:v>13.499743554630417</c:v>
                      </c:pt>
                      <c:pt idx="9">
                        <c:v>14.583977272362262</c:v>
                      </c:pt>
                      <c:pt idx="10">
                        <c:v>14.71378259336991</c:v>
                      </c:pt>
                      <c:pt idx="11">
                        <c:v>14.752093170585667</c:v>
                      </c:pt>
                      <c:pt idx="12">
                        <c:v>14.752721937917007</c:v>
                      </c:pt>
                    </c:numCache>
                  </c:numRef>
                </c:val>
                <c:smooth val="0"/>
                <c:extLst xmlns:c15="http://schemas.microsoft.com/office/drawing/2012/chart">
                  <c:ext xmlns:c16="http://schemas.microsoft.com/office/drawing/2014/chart" uri="{C3380CC4-5D6E-409C-BE32-E72D297353CC}">
                    <c16:uniqueId val="{00000009-768E-446D-8B87-DFAB3347AE9C}"/>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'FGN Bonds'!$H$5</c15:sqref>
                        </c15:formulaRef>
                      </c:ext>
                    </c:extLst>
                    <c:strCache>
                      <c:ptCount val="1"/>
                      <c:pt idx="0">
                        <c:v>2036</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'FGN Bonds'!$A$9:$A$21</c15:sqref>
                        </c15:formulaRef>
                      </c:ext>
                    </c:extLst>
                    <c:numCache>
                      <c:formatCode>[$-409]d\-mmm\-yy;@</c:formatCode>
                      <c:ptCount val="13"/>
                      <c:pt idx="0">
                        <c:v>44681</c:v>
                      </c:pt>
                      <c:pt idx="1">
                        <c:v>44712</c:v>
                      </c:pt>
                      <c:pt idx="2">
                        <c:v>44742</c:v>
                      </c:pt>
                      <c:pt idx="3">
                        <c:v>44773</c:v>
                      </c:pt>
                      <c:pt idx="4">
                        <c:v>44804</c:v>
                      </c:pt>
                      <c:pt idx="5">
                        <c:v>44834</c:v>
                      </c:pt>
                      <c:pt idx="6">
                        <c:v>44865</c:v>
                      </c:pt>
                      <c:pt idx="7">
                        <c:v>44895</c:v>
                      </c:pt>
                      <c:pt idx="8">
                        <c:v>44926</c:v>
                      </c:pt>
                      <c:pt idx="9">
                        <c:v>44957</c:v>
                      </c:pt>
                      <c:pt idx="10">
                        <c:v>44985</c:v>
                      </c:pt>
                      <c:pt idx="11">
                        <c:v>45016</c:v>
                      </c:pt>
                      <c:pt idx="12">
                        <c:v>45046</c:v>
                      </c:pt>
                    </c:numCache>
                  </c:numRef>
                </c:cat>
                <c:val>
                  <c:numRef>
                    <c:extLst xmlns:c15="http://schemas.microsoft.com/office/drawing/2012/chart">
                      <c:ext xmlns:c15="http://schemas.microsoft.com/office/drawing/2012/chart" uri="{02D57815-91ED-43cb-92C2-25804820EDAC}">
                        <c15:formulaRef>
                          <c15:sqref>'FGN Bonds'!$H$9:$H$21</c15:sqref>
                        </c15:formulaRef>
                      </c:ext>
                    </c:extLst>
                    <c:numCache>
                      <c:formatCode>#,##0.00</c:formatCode>
                      <c:ptCount val="13"/>
                      <c:pt idx="0">
                        <c:v>12.419459481671751</c:v>
                      </c:pt>
                      <c:pt idx="1">
                        <c:v>12.7797800862432</c:v>
                      </c:pt>
                      <c:pt idx="2">
                        <c:v>12.390850119120282</c:v>
                      </c:pt>
                      <c:pt idx="3">
                        <c:v>12.698405938261118</c:v>
                      </c:pt>
                      <c:pt idx="4">
                        <c:v>13.600395028050253</c:v>
                      </c:pt>
                      <c:pt idx="5">
                        <c:v>13.569466927378931</c:v>
                      </c:pt>
                      <c:pt idx="6">
                        <c:v>14.299566964292287</c:v>
                      </c:pt>
                      <c:pt idx="7">
                        <c:v>14.741450749324288</c:v>
                      </c:pt>
                      <c:pt idx="8">
                        <c:v>13.470920916748263</c:v>
                      </c:pt>
                      <c:pt idx="9">
                        <c:v>14.749173777771569</c:v>
                      </c:pt>
                      <c:pt idx="10">
                        <c:v>14.849237203123502</c:v>
                      </c:pt>
                      <c:pt idx="11">
                        <c:v>14.761060041034964</c:v>
                      </c:pt>
                      <c:pt idx="12">
                        <c:v>14.700046805949565</c:v>
                      </c:pt>
                    </c:numCache>
                  </c:numRef>
                </c:val>
                <c:smooth val="0"/>
                <c:extLst xmlns:c15="http://schemas.microsoft.com/office/drawing/2012/chart">
                  <c:ext xmlns:c16="http://schemas.microsoft.com/office/drawing/2014/chart" uri="{C3380CC4-5D6E-409C-BE32-E72D297353CC}">
                    <c16:uniqueId val="{0000000A-768E-446D-8B87-DFAB3347AE9C}"/>
                  </c:ext>
                </c:extLst>
              </c15:ser>
            </c15:filteredLineSeries>
          </c:ext>
        </c:extLst>
      </c:lineChart>
      <c:dateAx>
        <c:axId val="308635535"/>
        <c:scaling>
          <c:orientation val="minMax"/>
          <c:max val="45046"/>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crossAx val="308645103"/>
        <c:crosses val="autoZero"/>
        <c:auto val="1"/>
        <c:lblOffset val="100"/>
        <c:baseTimeUnit val="months"/>
      </c:dateAx>
      <c:valAx>
        <c:axId val="308645103"/>
        <c:scaling>
          <c:orientation val="minMax"/>
          <c:min val="7"/>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crossAx val="308635535"/>
        <c:crosses val="autoZero"/>
        <c:crossBetween val="between"/>
      </c:valAx>
      <c:spPr>
        <a:noFill/>
        <a:ln>
          <a:noFill/>
        </a:ln>
        <a:effectLst/>
      </c:spPr>
    </c:plotArea>
    <c:legend>
      <c:legendPos val="b"/>
      <c:layout>
        <c:manualLayout>
          <c:xMode val="edge"/>
          <c:yMode val="edge"/>
          <c:x val="6.8394070933441006E-2"/>
          <c:y val="2.333086638438299E-3"/>
          <c:w val="0.75610387643852206"/>
          <c:h val="0.13000861410043316"/>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ysClr val="windowText" lastClr="000000"/>
          </a:solidFill>
          <a:latin typeface="Candara" panose="020E0502030303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Candara" panose="020E0502030303020204" pitchFamily="34" charset="0"/>
                <a:ea typeface="+mn-ea"/>
                <a:cs typeface="+mn-cs"/>
              </a:defRPr>
            </a:pPr>
            <a:r>
              <a:rPr lang="en-US"/>
              <a:t>Nigeria</a:t>
            </a:r>
            <a:r>
              <a:rPr lang="en-US" baseline="0"/>
              <a:t> </a:t>
            </a:r>
            <a:r>
              <a:rPr lang="en-US"/>
              <a:t>Sovereign Eurobond Yield curve</a:t>
            </a:r>
          </a:p>
        </c:rich>
      </c:tx>
      <c:layout>
        <c:manualLayout>
          <c:xMode val="edge"/>
          <c:yMode val="edge"/>
          <c:x val="6.9234470691163673E-3"/>
          <c:y val="9.1512239762068185E-3"/>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Candara" panose="020E0502030303020204" pitchFamily="34" charset="0"/>
              <a:ea typeface="+mn-ea"/>
              <a:cs typeface="+mn-cs"/>
            </a:defRPr>
          </a:pPr>
          <a:endParaRPr lang="en-US"/>
        </a:p>
      </c:txPr>
    </c:title>
    <c:autoTitleDeleted val="0"/>
    <c:plotArea>
      <c:layout/>
      <c:lineChart>
        <c:grouping val="standard"/>
        <c:varyColors val="0"/>
        <c:ser>
          <c:idx val="1"/>
          <c:order val="1"/>
          <c:tx>
            <c:strRef>
              <c:f>Eurobond!$J$1</c:f>
              <c:strCache>
                <c:ptCount val="1"/>
                <c:pt idx="0">
                  <c:v>30-Apr</c:v>
                </c:pt>
              </c:strCache>
            </c:strRef>
          </c:tx>
          <c:spPr>
            <a:ln w="28575" cap="rnd">
              <a:solidFill>
                <a:schemeClr val="accent2"/>
              </a:solidFill>
              <a:round/>
            </a:ln>
            <a:effectLst/>
          </c:spPr>
          <c:marker>
            <c:symbol val="none"/>
          </c:marker>
          <c:cat>
            <c:numRef>
              <c:f>Eurobond!$D$2:$D$14</c:f>
              <c:numCache>
                <c:formatCode>General</c:formatCode>
                <c:ptCount val="13"/>
                <c:pt idx="0">
                  <c:v>2023</c:v>
                </c:pt>
                <c:pt idx="1">
                  <c:v>2025</c:v>
                </c:pt>
                <c:pt idx="2">
                  <c:v>2027</c:v>
                </c:pt>
                <c:pt idx="3">
                  <c:v>2028</c:v>
                </c:pt>
                <c:pt idx="4">
                  <c:v>2029</c:v>
                </c:pt>
                <c:pt idx="5">
                  <c:v>2030</c:v>
                </c:pt>
                <c:pt idx="6">
                  <c:v>2031</c:v>
                </c:pt>
                <c:pt idx="7">
                  <c:v>2032</c:v>
                </c:pt>
                <c:pt idx="8">
                  <c:v>2033</c:v>
                </c:pt>
                <c:pt idx="9">
                  <c:v>2038</c:v>
                </c:pt>
                <c:pt idx="10">
                  <c:v>2047</c:v>
                </c:pt>
                <c:pt idx="11">
                  <c:v>2049</c:v>
                </c:pt>
                <c:pt idx="12">
                  <c:v>2051</c:v>
                </c:pt>
              </c:numCache>
            </c:numRef>
          </c:cat>
          <c:val>
            <c:numRef>
              <c:f>Eurobond!$J$2:$J$14</c:f>
              <c:numCache>
                <c:formatCode>#,##0.00</c:formatCode>
                <c:ptCount val="13"/>
                <c:pt idx="0">
                  <c:v>9.4700000000000006</c:v>
                </c:pt>
                <c:pt idx="1">
                  <c:v>11.684999999999999</c:v>
                </c:pt>
                <c:pt idx="2">
                  <c:v>12.145</c:v>
                </c:pt>
                <c:pt idx="3">
                  <c:v>12.030000000000001</c:v>
                </c:pt>
                <c:pt idx="4">
                  <c:v>12.780000000000001</c:v>
                </c:pt>
                <c:pt idx="5">
                  <c:v>12.675000000000001</c:v>
                </c:pt>
                <c:pt idx="6">
                  <c:v>12.879999999999999</c:v>
                </c:pt>
                <c:pt idx="7">
                  <c:v>12.635</c:v>
                </c:pt>
                <c:pt idx="8">
                  <c:v>12.66</c:v>
                </c:pt>
                <c:pt idx="9">
                  <c:v>12.79</c:v>
                </c:pt>
                <c:pt idx="10">
                  <c:v>12.445</c:v>
                </c:pt>
                <c:pt idx="11">
                  <c:v>12.86</c:v>
                </c:pt>
                <c:pt idx="12">
                  <c:v>12.745000000000001</c:v>
                </c:pt>
              </c:numCache>
            </c:numRef>
          </c:val>
          <c:smooth val="1"/>
          <c:extLst>
            <c:ext xmlns:c16="http://schemas.microsoft.com/office/drawing/2014/chart" uri="{C3380CC4-5D6E-409C-BE32-E72D297353CC}">
              <c16:uniqueId val="{00000000-B04A-46DA-BDD1-730458F3DD14}"/>
            </c:ext>
          </c:extLst>
        </c:ser>
        <c:ser>
          <c:idx val="0"/>
          <c:order val="0"/>
          <c:tx>
            <c:strRef>
              <c:f>Eurobond!$I$1</c:f>
              <c:strCache>
                <c:ptCount val="1"/>
                <c:pt idx="0">
                  <c:v>31-Mar</c:v>
                </c:pt>
              </c:strCache>
            </c:strRef>
          </c:tx>
          <c:spPr>
            <a:ln w="28575" cap="rnd">
              <a:solidFill>
                <a:schemeClr val="accent1"/>
              </a:solidFill>
              <a:round/>
            </a:ln>
            <a:effectLst/>
          </c:spPr>
          <c:marker>
            <c:symbol val="none"/>
          </c:marker>
          <c:cat>
            <c:numRef>
              <c:f>Eurobond!$D$2:$D$14</c:f>
              <c:numCache>
                <c:formatCode>General</c:formatCode>
                <c:ptCount val="13"/>
                <c:pt idx="0">
                  <c:v>2023</c:v>
                </c:pt>
                <c:pt idx="1">
                  <c:v>2025</c:v>
                </c:pt>
                <c:pt idx="2">
                  <c:v>2027</c:v>
                </c:pt>
                <c:pt idx="3">
                  <c:v>2028</c:v>
                </c:pt>
                <c:pt idx="4">
                  <c:v>2029</c:v>
                </c:pt>
                <c:pt idx="5">
                  <c:v>2030</c:v>
                </c:pt>
                <c:pt idx="6">
                  <c:v>2031</c:v>
                </c:pt>
                <c:pt idx="7">
                  <c:v>2032</c:v>
                </c:pt>
                <c:pt idx="8">
                  <c:v>2033</c:v>
                </c:pt>
                <c:pt idx="9">
                  <c:v>2038</c:v>
                </c:pt>
                <c:pt idx="10">
                  <c:v>2047</c:v>
                </c:pt>
                <c:pt idx="11">
                  <c:v>2049</c:v>
                </c:pt>
                <c:pt idx="12">
                  <c:v>2051</c:v>
                </c:pt>
              </c:numCache>
            </c:numRef>
          </c:cat>
          <c:val>
            <c:numRef>
              <c:f>Eurobond!$I$2:$I$14</c:f>
              <c:numCache>
                <c:formatCode>#,##0.00</c:formatCode>
                <c:ptCount val="13"/>
                <c:pt idx="0">
                  <c:v>7.67</c:v>
                </c:pt>
                <c:pt idx="1">
                  <c:v>10.975000000000001</c:v>
                </c:pt>
                <c:pt idx="2">
                  <c:v>11.45</c:v>
                </c:pt>
                <c:pt idx="3">
                  <c:v>11.445</c:v>
                </c:pt>
                <c:pt idx="4">
                  <c:v>12.43</c:v>
                </c:pt>
                <c:pt idx="5">
                  <c:v>12.23</c:v>
                </c:pt>
                <c:pt idx="6">
                  <c:v>12.555</c:v>
                </c:pt>
                <c:pt idx="7">
                  <c:v>12.41</c:v>
                </c:pt>
                <c:pt idx="8">
                  <c:v>12.36</c:v>
                </c:pt>
                <c:pt idx="9">
                  <c:v>12.52</c:v>
                </c:pt>
                <c:pt idx="10">
                  <c:v>12.245000000000001</c:v>
                </c:pt>
                <c:pt idx="11">
                  <c:v>12.86</c:v>
                </c:pt>
                <c:pt idx="12">
                  <c:v>12.635</c:v>
                </c:pt>
              </c:numCache>
            </c:numRef>
          </c:val>
          <c:smooth val="1"/>
          <c:extLst>
            <c:ext xmlns:c16="http://schemas.microsoft.com/office/drawing/2014/chart" uri="{C3380CC4-5D6E-409C-BE32-E72D297353CC}">
              <c16:uniqueId val="{00000001-B04A-46DA-BDD1-730458F3DD14}"/>
            </c:ext>
          </c:extLst>
        </c:ser>
        <c:dLbls>
          <c:showLegendKey val="0"/>
          <c:showVal val="0"/>
          <c:showCatName val="0"/>
          <c:showSerName val="0"/>
          <c:showPercent val="0"/>
          <c:showBubbleSize val="0"/>
        </c:dLbls>
        <c:smooth val="0"/>
        <c:axId val="639965007"/>
        <c:axId val="639962511"/>
      </c:lineChart>
      <c:catAx>
        <c:axId val="639965007"/>
        <c:scaling>
          <c:orientation val="minMax"/>
        </c:scaling>
        <c:delete val="0"/>
        <c:axPos val="b"/>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crossAx val="639962511"/>
        <c:crosses val="autoZero"/>
        <c:auto val="1"/>
        <c:lblAlgn val="ctr"/>
        <c:lblOffset val="100"/>
        <c:noMultiLvlLbl val="0"/>
      </c:catAx>
      <c:valAx>
        <c:axId val="639962511"/>
        <c:scaling>
          <c:orientation val="minMax"/>
          <c:max val="13"/>
          <c:min val="7"/>
        </c:scaling>
        <c:delete val="0"/>
        <c:axPos val="l"/>
        <c:numFmt formatCode="#,##0.00" sourceLinked="0"/>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crossAx val="639965007"/>
        <c:crosses val="autoZero"/>
        <c:crossBetween val="between"/>
      </c:valAx>
      <c:spPr>
        <a:noFill/>
        <a:ln>
          <a:noFill/>
        </a:ln>
        <a:effectLst/>
      </c:spPr>
    </c:plotArea>
    <c:legend>
      <c:legendPos val="b"/>
      <c:layout>
        <c:manualLayout>
          <c:xMode val="edge"/>
          <c:yMode val="edge"/>
          <c:x val="0.66388560804899388"/>
          <c:y val="7.6636096534604525E-3"/>
          <c:w val="0.23619606426008344"/>
          <c:h val="0.1065348365545216"/>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ysClr val="windowText" lastClr="000000"/>
          </a:solidFill>
          <a:latin typeface="Candara" panose="020E0502030303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97827327615073E-2"/>
          <c:y val="4.4444444444444446E-2"/>
          <c:w val="0.88614006159099057"/>
          <c:h val="0.74032510936132978"/>
        </c:manualLayout>
      </c:layout>
      <c:lineChart>
        <c:grouping val="standard"/>
        <c:varyColors val="0"/>
        <c:ser>
          <c:idx val="0"/>
          <c:order val="0"/>
          <c:tx>
            <c:strRef>
              <c:f>'[Financial Market Update Report.xlsx]Equities'!$B$1</c:f>
              <c:strCache>
                <c:ptCount val="1"/>
                <c:pt idx="0">
                  <c:v> ASI </c:v>
                </c:pt>
              </c:strCache>
            </c:strRef>
          </c:tx>
          <c:spPr>
            <a:ln w="28575" cap="rnd">
              <a:solidFill>
                <a:schemeClr val="accent1"/>
              </a:solidFill>
              <a:round/>
            </a:ln>
            <a:effectLst/>
          </c:spPr>
          <c:marker>
            <c:symbol val="none"/>
          </c:marker>
          <c:cat>
            <c:numRef>
              <c:f>'[Financial Market Update Report.xlsx]Equities'!$A$8:$A$584</c:f>
              <c:numCache>
                <c:formatCode>[$-409]d\-mmm\-yy;@</c:formatCode>
                <c:ptCount val="577"/>
                <c:pt idx="0">
                  <c:v>44208</c:v>
                </c:pt>
                <c:pt idx="1">
                  <c:v>44209</c:v>
                </c:pt>
                <c:pt idx="2">
                  <c:v>44210</c:v>
                </c:pt>
                <c:pt idx="3">
                  <c:v>44211</c:v>
                </c:pt>
                <c:pt idx="4">
                  <c:v>44214</c:v>
                </c:pt>
                <c:pt idx="5">
                  <c:v>44215</c:v>
                </c:pt>
                <c:pt idx="6">
                  <c:v>44216</c:v>
                </c:pt>
                <c:pt idx="7">
                  <c:v>44217</c:v>
                </c:pt>
                <c:pt idx="8">
                  <c:v>44218</c:v>
                </c:pt>
                <c:pt idx="9">
                  <c:v>44221</c:v>
                </c:pt>
                <c:pt idx="10">
                  <c:v>44222</c:v>
                </c:pt>
                <c:pt idx="11">
                  <c:v>44223</c:v>
                </c:pt>
                <c:pt idx="12">
                  <c:v>44224</c:v>
                </c:pt>
                <c:pt idx="13">
                  <c:v>44225</c:v>
                </c:pt>
                <c:pt idx="14">
                  <c:v>44228</c:v>
                </c:pt>
                <c:pt idx="15">
                  <c:v>44229</c:v>
                </c:pt>
                <c:pt idx="16">
                  <c:v>44230</c:v>
                </c:pt>
                <c:pt idx="17">
                  <c:v>44231</c:v>
                </c:pt>
                <c:pt idx="18">
                  <c:v>44232</c:v>
                </c:pt>
                <c:pt idx="19">
                  <c:v>44235</c:v>
                </c:pt>
                <c:pt idx="20">
                  <c:v>44236</c:v>
                </c:pt>
                <c:pt idx="21">
                  <c:v>44237</c:v>
                </c:pt>
                <c:pt idx="22">
                  <c:v>44238</c:v>
                </c:pt>
                <c:pt idx="23">
                  <c:v>44239</c:v>
                </c:pt>
                <c:pt idx="24">
                  <c:v>44242</c:v>
                </c:pt>
                <c:pt idx="25">
                  <c:v>44243</c:v>
                </c:pt>
                <c:pt idx="26">
                  <c:v>44244</c:v>
                </c:pt>
                <c:pt idx="27">
                  <c:v>44245</c:v>
                </c:pt>
                <c:pt idx="28">
                  <c:v>44246</c:v>
                </c:pt>
                <c:pt idx="29">
                  <c:v>44249</c:v>
                </c:pt>
                <c:pt idx="30">
                  <c:v>44250</c:v>
                </c:pt>
                <c:pt idx="31">
                  <c:v>44251</c:v>
                </c:pt>
                <c:pt idx="32">
                  <c:v>44252</c:v>
                </c:pt>
                <c:pt idx="33">
                  <c:v>44253</c:v>
                </c:pt>
                <c:pt idx="34">
                  <c:v>44256</c:v>
                </c:pt>
                <c:pt idx="35">
                  <c:v>44257</c:v>
                </c:pt>
                <c:pt idx="36">
                  <c:v>44258</c:v>
                </c:pt>
                <c:pt idx="37">
                  <c:v>44259</c:v>
                </c:pt>
                <c:pt idx="38">
                  <c:v>44260</c:v>
                </c:pt>
                <c:pt idx="39">
                  <c:v>44263</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44292</c:v>
                </c:pt>
                <c:pt idx="59">
                  <c:v>44293</c:v>
                </c:pt>
                <c:pt idx="60">
                  <c:v>44294</c:v>
                </c:pt>
                <c:pt idx="61">
                  <c:v>44295</c:v>
                </c:pt>
                <c:pt idx="62">
                  <c:v>44298</c:v>
                </c:pt>
                <c:pt idx="63">
                  <c:v>44299</c:v>
                </c:pt>
                <c:pt idx="64">
                  <c:v>44300</c:v>
                </c:pt>
                <c:pt idx="65">
                  <c:v>44301</c:v>
                </c:pt>
                <c:pt idx="66">
                  <c:v>44302</c:v>
                </c:pt>
                <c:pt idx="67">
                  <c:v>44305</c:v>
                </c:pt>
                <c:pt idx="68">
                  <c:v>44306</c:v>
                </c:pt>
                <c:pt idx="69">
                  <c:v>44307</c:v>
                </c:pt>
                <c:pt idx="70">
                  <c:v>44308</c:v>
                </c:pt>
                <c:pt idx="71">
                  <c:v>44309</c:v>
                </c:pt>
                <c:pt idx="72">
                  <c:v>44312</c:v>
                </c:pt>
                <c:pt idx="73">
                  <c:v>44313</c:v>
                </c:pt>
                <c:pt idx="74">
                  <c:v>44314</c:v>
                </c:pt>
                <c:pt idx="75">
                  <c:v>44315</c:v>
                </c:pt>
                <c:pt idx="76">
                  <c:v>44316</c:v>
                </c:pt>
                <c:pt idx="77">
                  <c:v>44320</c:v>
                </c:pt>
                <c:pt idx="78">
                  <c:v>44321</c:v>
                </c:pt>
                <c:pt idx="79">
                  <c:v>44322</c:v>
                </c:pt>
                <c:pt idx="80">
                  <c:v>44323</c:v>
                </c:pt>
                <c:pt idx="81">
                  <c:v>44326</c:v>
                </c:pt>
                <c:pt idx="82">
                  <c:v>44327</c:v>
                </c:pt>
                <c:pt idx="83">
                  <c:v>44330</c:v>
                </c:pt>
                <c:pt idx="84">
                  <c:v>44333</c:v>
                </c:pt>
                <c:pt idx="85">
                  <c:v>44334</c:v>
                </c:pt>
                <c:pt idx="86">
                  <c:v>44335</c:v>
                </c:pt>
                <c:pt idx="87">
                  <c:v>44336</c:v>
                </c:pt>
                <c:pt idx="88">
                  <c:v>44337</c:v>
                </c:pt>
                <c:pt idx="89">
                  <c:v>44340</c:v>
                </c:pt>
                <c:pt idx="90">
                  <c:v>44341</c:v>
                </c:pt>
                <c:pt idx="91">
                  <c:v>44342</c:v>
                </c:pt>
                <c:pt idx="92">
                  <c:v>44343</c:v>
                </c:pt>
                <c:pt idx="93">
                  <c:v>44344</c:v>
                </c:pt>
                <c:pt idx="94">
                  <c:v>44347</c:v>
                </c:pt>
                <c:pt idx="95">
                  <c:v>44348</c:v>
                </c:pt>
                <c:pt idx="96">
                  <c:v>44349</c:v>
                </c:pt>
                <c:pt idx="97">
                  <c:v>44350</c:v>
                </c:pt>
                <c:pt idx="98">
                  <c:v>44351</c:v>
                </c:pt>
                <c:pt idx="99">
                  <c:v>44354</c:v>
                </c:pt>
                <c:pt idx="100">
                  <c:v>44355</c:v>
                </c:pt>
                <c:pt idx="101">
                  <c:v>44356</c:v>
                </c:pt>
                <c:pt idx="102">
                  <c:v>44357</c:v>
                </c:pt>
                <c:pt idx="103">
                  <c:v>44358</c:v>
                </c:pt>
                <c:pt idx="104">
                  <c:v>44362</c:v>
                </c:pt>
                <c:pt idx="105">
                  <c:v>44363</c:v>
                </c:pt>
                <c:pt idx="106">
                  <c:v>44364</c:v>
                </c:pt>
                <c:pt idx="107">
                  <c:v>44365</c:v>
                </c:pt>
                <c:pt idx="108">
                  <c:v>44368</c:v>
                </c:pt>
                <c:pt idx="109">
                  <c:v>44369</c:v>
                </c:pt>
                <c:pt idx="110">
                  <c:v>44370</c:v>
                </c:pt>
                <c:pt idx="111">
                  <c:v>44371</c:v>
                </c:pt>
                <c:pt idx="112">
                  <c:v>44372</c:v>
                </c:pt>
                <c:pt idx="113">
                  <c:v>44375</c:v>
                </c:pt>
                <c:pt idx="114">
                  <c:v>44376</c:v>
                </c:pt>
                <c:pt idx="115">
                  <c:v>44377</c:v>
                </c:pt>
                <c:pt idx="116">
                  <c:v>44378</c:v>
                </c:pt>
                <c:pt idx="117">
                  <c:v>44379</c:v>
                </c:pt>
                <c:pt idx="118">
                  <c:v>44382</c:v>
                </c:pt>
                <c:pt idx="119">
                  <c:v>44383</c:v>
                </c:pt>
                <c:pt idx="120">
                  <c:v>44384</c:v>
                </c:pt>
                <c:pt idx="121">
                  <c:v>44385</c:v>
                </c:pt>
                <c:pt idx="122">
                  <c:v>44386</c:v>
                </c:pt>
                <c:pt idx="123">
                  <c:v>44389</c:v>
                </c:pt>
                <c:pt idx="124">
                  <c:v>44390</c:v>
                </c:pt>
                <c:pt idx="125">
                  <c:v>44391</c:v>
                </c:pt>
                <c:pt idx="126">
                  <c:v>44392</c:v>
                </c:pt>
                <c:pt idx="127">
                  <c:v>44393</c:v>
                </c:pt>
                <c:pt idx="128">
                  <c:v>44396</c:v>
                </c:pt>
                <c:pt idx="129">
                  <c:v>44399</c:v>
                </c:pt>
                <c:pt idx="130">
                  <c:v>44400</c:v>
                </c:pt>
                <c:pt idx="131">
                  <c:v>44403</c:v>
                </c:pt>
                <c:pt idx="132">
                  <c:v>44404</c:v>
                </c:pt>
                <c:pt idx="133">
                  <c:v>44405</c:v>
                </c:pt>
                <c:pt idx="134">
                  <c:v>44406</c:v>
                </c:pt>
                <c:pt idx="135">
                  <c:v>44407</c:v>
                </c:pt>
                <c:pt idx="136">
                  <c:v>44410</c:v>
                </c:pt>
                <c:pt idx="137">
                  <c:v>44411</c:v>
                </c:pt>
                <c:pt idx="138">
                  <c:v>44412</c:v>
                </c:pt>
                <c:pt idx="139">
                  <c:v>44413</c:v>
                </c:pt>
                <c:pt idx="140">
                  <c:v>44414</c:v>
                </c:pt>
                <c:pt idx="141">
                  <c:v>44417</c:v>
                </c:pt>
                <c:pt idx="142">
                  <c:v>44418</c:v>
                </c:pt>
                <c:pt idx="143">
                  <c:v>44419</c:v>
                </c:pt>
                <c:pt idx="144">
                  <c:v>44420</c:v>
                </c:pt>
                <c:pt idx="145">
                  <c:v>44421</c:v>
                </c:pt>
                <c:pt idx="146">
                  <c:v>44424</c:v>
                </c:pt>
                <c:pt idx="147">
                  <c:v>44425</c:v>
                </c:pt>
                <c:pt idx="148">
                  <c:v>44426</c:v>
                </c:pt>
                <c:pt idx="149">
                  <c:v>44427</c:v>
                </c:pt>
                <c:pt idx="150">
                  <c:v>44428</c:v>
                </c:pt>
                <c:pt idx="151">
                  <c:v>44431</c:v>
                </c:pt>
                <c:pt idx="152">
                  <c:v>44432</c:v>
                </c:pt>
                <c:pt idx="153">
                  <c:v>44433</c:v>
                </c:pt>
                <c:pt idx="154">
                  <c:v>44434</c:v>
                </c:pt>
                <c:pt idx="155">
                  <c:v>44435</c:v>
                </c:pt>
                <c:pt idx="156">
                  <c:v>44438</c:v>
                </c:pt>
                <c:pt idx="157">
                  <c:v>44439</c:v>
                </c:pt>
                <c:pt idx="158">
                  <c:v>44440</c:v>
                </c:pt>
                <c:pt idx="159">
                  <c:v>44441</c:v>
                </c:pt>
                <c:pt idx="160">
                  <c:v>44442</c:v>
                </c:pt>
                <c:pt idx="161">
                  <c:v>44445</c:v>
                </c:pt>
                <c:pt idx="162">
                  <c:v>44446</c:v>
                </c:pt>
                <c:pt idx="163">
                  <c:v>44447</c:v>
                </c:pt>
                <c:pt idx="164">
                  <c:v>44448</c:v>
                </c:pt>
                <c:pt idx="165">
                  <c:v>44449</c:v>
                </c:pt>
                <c:pt idx="166">
                  <c:v>44452</c:v>
                </c:pt>
                <c:pt idx="167">
                  <c:v>44453</c:v>
                </c:pt>
                <c:pt idx="168">
                  <c:v>44454</c:v>
                </c:pt>
                <c:pt idx="169">
                  <c:v>44455</c:v>
                </c:pt>
                <c:pt idx="170">
                  <c:v>44456</c:v>
                </c:pt>
                <c:pt idx="171">
                  <c:v>44459</c:v>
                </c:pt>
                <c:pt idx="172">
                  <c:v>44460</c:v>
                </c:pt>
                <c:pt idx="173">
                  <c:v>44461</c:v>
                </c:pt>
                <c:pt idx="174">
                  <c:v>44462</c:v>
                </c:pt>
                <c:pt idx="175">
                  <c:v>44463</c:v>
                </c:pt>
                <c:pt idx="176">
                  <c:v>44466</c:v>
                </c:pt>
                <c:pt idx="177">
                  <c:v>44467</c:v>
                </c:pt>
                <c:pt idx="178">
                  <c:v>44468</c:v>
                </c:pt>
                <c:pt idx="179">
                  <c:v>44469</c:v>
                </c:pt>
                <c:pt idx="180">
                  <c:v>44473</c:v>
                </c:pt>
                <c:pt idx="181">
                  <c:v>44474</c:v>
                </c:pt>
                <c:pt idx="182">
                  <c:v>44475</c:v>
                </c:pt>
                <c:pt idx="183">
                  <c:v>44476</c:v>
                </c:pt>
                <c:pt idx="184">
                  <c:v>44477</c:v>
                </c:pt>
                <c:pt idx="185">
                  <c:v>44480</c:v>
                </c:pt>
                <c:pt idx="186">
                  <c:v>44481</c:v>
                </c:pt>
                <c:pt idx="187">
                  <c:v>44482</c:v>
                </c:pt>
                <c:pt idx="188">
                  <c:v>44483</c:v>
                </c:pt>
                <c:pt idx="189">
                  <c:v>44484</c:v>
                </c:pt>
                <c:pt idx="190">
                  <c:v>44487</c:v>
                </c:pt>
                <c:pt idx="191">
                  <c:v>44489</c:v>
                </c:pt>
                <c:pt idx="192">
                  <c:v>44490</c:v>
                </c:pt>
                <c:pt idx="193">
                  <c:v>44491</c:v>
                </c:pt>
                <c:pt idx="194">
                  <c:v>44494</c:v>
                </c:pt>
                <c:pt idx="195">
                  <c:v>44495</c:v>
                </c:pt>
                <c:pt idx="196">
                  <c:v>44496</c:v>
                </c:pt>
                <c:pt idx="197">
                  <c:v>44497</c:v>
                </c:pt>
                <c:pt idx="198">
                  <c:v>44498</c:v>
                </c:pt>
                <c:pt idx="199">
                  <c:v>44501</c:v>
                </c:pt>
                <c:pt idx="200">
                  <c:v>44502</c:v>
                </c:pt>
                <c:pt idx="201">
                  <c:v>44503</c:v>
                </c:pt>
                <c:pt idx="202">
                  <c:v>44504</c:v>
                </c:pt>
                <c:pt idx="203">
                  <c:v>44505</c:v>
                </c:pt>
                <c:pt idx="204">
                  <c:v>44508</c:v>
                </c:pt>
                <c:pt idx="205">
                  <c:v>44509</c:v>
                </c:pt>
                <c:pt idx="206">
                  <c:v>44510</c:v>
                </c:pt>
                <c:pt idx="207">
                  <c:v>44511</c:v>
                </c:pt>
                <c:pt idx="208">
                  <c:v>44512</c:v>
                </c:pt>
                <c:pt idx="209">
                  <c:v>44515</c:v>
                </c:pt>
                <c:pt idx="210">
                  <c:v>44516</c:v>
                </c:pt>
                <c:pt idx="211">
                  <c:v>44517</c:v>
                </c:pt>
                <c:pt idx="212">
                  <c:v>44518</c:v>
                </c:pt>
                <c:pt idx="213">
                  <c:v>44519</c:v>
                </c:pt>
                <c:pt idx="214">
                  <c:v>44522</c:v>
                </c:pt>
                <c:pt idx="215">
                  <c:v>44523</c:v>
                </c:pt>
                <c:pt idx="216">
                  <c:v>44524</c:v>
                </c:pt>
                <c:pt idx="217">
                  <c:v>44525</c:v>
                </c:pt>
                <c:pt idx="218">
                  <c:v>44526</c:v>
                </c:pt>
                <c:pt idx="219">
                  <c:v>44529</c:v>
                </c:pt>
                <c:pt idx="220">
                  <c:v>44530</c:v>
                </c:pt>
                <c:pt idx="221">
                  <c:v>44531</c:v>
                </c:pt>
                <c:pt idx="222">
                  <c:v>44532</c:v>
                </c:pt>
                <c:pt idx="223">
                  <c:v>44533</c:v>
                </c:pt>
                <c:pt idx="224">
                  <c:v>44536</c:v>
                </c:pt>
                <c:pt idx="225">
                  <c:v>44537</c:v>
                </c:pt>
                <c:pt idx="226">
                  <c:v>44538</c:v>
                </c:pt>
                <c:pt idx="227">
                  <c:v>44539</c:v>
                </c:pt>
                <c:pt idx="228">
                  <c:v>44540</c:v>
                </c:pt>
                <c:pt idx="229">
                  <c:v>44543</c:v>
                </c:pt>
                <c:pt idx="230">
                  <c:v>44544</c:v>
                </c:pt>
                <c:pt idx="231">
                  <c:v>44545</c:v>
                </c:pt>
                <c:pt idx="232">
                  <c:v>44546</c:v>
                </c:pt>
                <c:pt idx="233">
                  <c:v>44547</c:v>
                </c:pt>
                <c:pt idx="234">
                  <c:v>44550</c:v>
                </c:pt>
                <c:pt idx="235">
                  <c:v>44551</c:v>
                </c:pt>
                <c:pt idx="236">
                  <c:v>44552</c:v>
                </c:pt>
                <c:pt idx="237">
                  <c:v>44553</c:v>
                </c:pt>
                <c:pt idx="238">
                  <c:v>44554</c:v>
                </c:pt>
                <c:pt idx="239">
                  <c:v>44557</c:v>
                </c:pt>
                <c:pt idx="240">
                  <c:v>44558</c:v>
                </c:pt>
                <c:pt idx="241">
                  <c:v>44559</c:v>
                </c:pt>
                <c:pt idx="242">
                  <c:v>44560</c:v>
                </c:pt>
                <c:pt idx="243">
                  <c:v>44561</c:v>
                </c:pt>
                <c:pt idx="244">
                  <c:v>44565</c:v>
                </c:pt>
                <c:pt idx="245">
                  <c:v>44566</c:v>
                </c:pt>
                <c:pt idx="246">
                  <c:v>44567</c:v>
                </c:pt>
                <c:pt idx="247">
                  <c:v>44568</c:v>
                </c:pt>
                <c:pt idx="248">
                  <c:v>44571</c:v>
                </c:pt>
                <c:pt idx="249">
                  <c:v>44572</c:v>
                </c:pt>
                <c:pt idx="250">
                  <c:v>44573</c:v>
                </c:pt>
                <c:pt idx="251">
                  <c:v>44574</c:v>
                </c:pt>
                <c:pt idx="252">
                  <c:v>44575</c:v>
                </c:pt>
                <c:pt idx="253">
                  <c:v>44578</c:v>
                </c:pt>
                <c:pt idx="254">
                  <c:v>44579</c:v>
                </c:pt>
                <c:pt idx="255">
                  <c:v>44580</c:v>
                </c:pt>
                <c:pt idx="256">
                  <c:v>44581</c:v>
                </c:pt>
                <c:pt idx="257">
                  <c:v>44582</c:v>
                </c:pt>
                <c:pt idx="258">
                  <c:v>44585</c:v>
                </c:pt>
                <c:pt idx="259">
                  <c:v>44586</c:v>
                </c:pt>
                <c:pt idx="260">
                  <c:v>44587</c:v>
                </c:pt>
                <c:pt idx="261">
                  <c:v>44588</c:v>
                </c:pt>
                <c:pt idx="262">
                  <c:v>44589</c:v>
                </c:pt>
                <c:pt idx="263">
                  <c:v>44592</c:v>
                </c:pt>
                <c:pt idx="264">
                  <c:v>44593</c:v>
                </c:pt>
                <c:pt idx="265">
                  <c:v>44594</c:v>
                </c:pt>
                <c:pt idx="266">
                  <c:v>44595</c:v>
                </c:pt>
                <c:pt idx="267">
                  <c:v>44596</c:v>
                </c:pt>
                <c:pt idx="268">
                  <c:v>44599</c:v>
                </c:pt>
                <c:pt idx="269">
                  <c:v>44600</c:v>
                </c:pt>
                <c:pt idx="270">
                  <c:v>44601</c:v>
                </c:pt>
                <c:pt idx="271">
                  <c:v>44602</c:v>
                </c:pt>
                <c:pt idx="272">
                  <c:v>44603</c:v>
                </c:pt>
                <c:pt idx="273">
                  <c:v>44606</c:v>
                </c:pt>
                <c:pt idx="274">
                  <c:v>44607</c:v>
                </c:pt>
                <c:pt idx="275">
                  <c:v>44608</c:v>
                </c:pt>
                <c:pt idx="276">
                  <c:v>44609</c:v>
                </c:pt>
                <c:pt idx="277">
                  <c:v>44610</c:v>
                </c:pt>
                <c:pt idx="278">
                  <c:v>44613</c:v>
                </c:pt>
                <c:pt idx="279">
                  <c:v>44614</c:v>
                </c:pt>
                <c:pt idx="280">
                  <c:v>44615</c:v>
                </c:pt>
                <c:pt idx="281">
                  <c:v>44616</c:v>
                </c:pt>
                <c:pt idx="282">
                  <c:v>44617</c:v>
                </c:pt>
                <c:pt idx="283">
                  <c:v>44620</c:v>
                </c:pt>
                <c:pt idx="284">
                  <c:v>44621</c:v>
                </c:pt>
                <c:pt idx="285">
                  <c:v>44622</c:v>
                </c:pt>
                <c:pt idx="286">
                  <c:v>44623</c:v>
                </c:pt>
                <c:pt idx="287">
                  <c:v>44624</c:v>
                </c:pt>
                <c:pt idx="288">
                  <c:v>44627</c:v>
                </c:pt>
                <c:pt idx="289">
                  <c:v>44628</c:v>
                </c:pt>
                <c:pt idx="290">
                  <c:v>44629</c:v>
                </c:pt>
                <c:pt idx="291">
                  <c:v>44630</c:v>
                </c:pt>
                <c:pt idx="292">
                  <c:v>44631</c:v>
                </c:pt>
                <c:pt idx="293">
                  <c:v>44634</c:v>
                </c:pt>
                <c:pt idx="294">
                  <c:v>44635</c:v>
                </c:pt>
                <c:pt idx="295">
                  <c:v>44636</c:v>
                </c:pt>
                <c:pt idx="296">
                  <c:v>44637</c:v>
                </c:pt>
                <c:pt idx="297">
                  <c:v>44638</c:v>
                </c:pt>
                <c:pt idx="298">
                  <c:v>44641</c:v>
                </c:pt>
                <c:pt idx="299">
                  <c:v>44642</c:v>
                </c:pt>
                <c:pt idx="300">
                  <c:v>44643</c:v>
                </c:pt>
                <c:pt idx="301">
                  <c:v>44644</c:v>
                </c:pt>
                <c:pt idx="302">
                  <c:v>44645</c:v>
                </c:pt>
                <c:pt idx="303">
                  <c:v>44648</c:v>
                </c:pt>
                <c:pt idx="304">
                  <c:v>44649</c:v>
                </c:pt>
                <c:pt idx="305">
                  <c:v>44650</c:v>
                </c:pt>
                <c:pt idx="306">
                  <c:v>44651</c:v>
                </c:pt>
                <c:pt idx="307">
                  <c:v>44652</c:v>
                </c:pt>
                <c:pt idx="308">
                  <c:v>44655</c:v>
                </c:pt>
                <c:pt idx="309">
                  <c:v>44656</c:v>
                </c:pt>
                <c:pt idx="310">
                  <c:v>44657</c:v>
                </c:pt>
                <c:pt idx="311">
                  <c:v>44658</c:v>
                </c:pt>
                <c:pt idx="312">
                  <c:v>44659</c:v>
                </c:pt>
                <c:pt idx="313">
                  <c:v>44662</c:v>
                </c:pt>
                <c:pt idx="314">
                  <c:v>44663</c:v>
                </c:pt>
                <c:pt idx="315">
                  <c:v>44664</c:v>
                </c:pt>
                <c:pt idx="316">
                  <c:v>44665</c:v>
                </c:pt>
                <c:pt idx="317">
                  <c:v>44670</c:v>
                </c:pt>
                <c:pt idx="318">
                  <c:v>44671</c:v>
                </c:pt>
                <c:pt idx="319">
                  <c:v>44672</c:v>
                </c:pt>
                <c:pt idx="320">
                  <c:v>44673</c:v>
                </c:pt>
                <c:pt idx="321">
                  <c:v>44676</c:v>
                </c:pt>
                <c:pt idx="322">
                  <c:v>44677</c:v>
                </c:pt>
                <c:pt idx="323">
                  <c:v>44678</c:v>
                </c:pt>
                <c:pt idx="324">
                  <c:v>44679</c:v>
                </c:pt>
                <c:pt idx="325">
                  <c:v>44680</c:v>
                </c:pt>
                <c:pt idx="326">
                  <c:v>44685</c:v>
                </c:pt>
                <c:pt idx="327">
                  <c:v>44686</c:v>
                </c:pt>
                <c:pt idx="328">
                  <c:v>44687</c:v>
                </c:pt>
                <c:pt idx="329">
                  <c:v>44690</c:v>
                </c:pt>
                <c:pt idx="330">
                  <c:v>44691</c:v>
                </c:pt>
                <c:pt idx="331">
                  <c:v>44692</c:v>
                </c:pt>
                <c:pt idx="332">
                  <c:v>44693</c:v>
                </c:pt>
                <c:pt idx="333">
                  <c:v>44694</c:v>
                </c:pt>
                <c:pt idx="334">
                  <c:v>44697</c:v>
                </c:pt>
                <c:pt idx="335">
                  <c:v>44698</c:v>
                </c:pt>
                <c:pt idx="336">
                  <c:v>44699</c:v>
                </c:pt>
                <c:pt idx="337">
                  <c:v>44700</c:v>
                </c:pt>
                <c:pt idx="338">
                  <c:v>44701</c:v>
                </c:pt>
                <c:pt idx="339">
                  <c:v>44704</c:v>
                </c:pt>
                <c:pt idx="340">
                  <c:v>44705</c:v>
                </c:pt>
                <c:pt idx="341">
                  <c:v>44706</c:v>
                </c:pt>
                <c:pt idx="342">
                  <c:v>44707</c:v>
                </c:pt>
                <c:pt idx="343">
                  <c:v>44708</c:v>
                </c:pt>
                <c:pt idx="344">
                  <c:v>44711</c:v>
                </c:pt>
                <c:pt idx="345">
                  <c:v>44712</c:v>
                </c:pt>
                <c:pt idx="346">
                  <c:v>44713</c:v>
                </c:pt>
                <c:pt idx="347">
                  <c:v>44714</c:v>
                </c:pt>
                <c:pt idx="348">
                  <c:v>44715</c:v>
                </c:pt>
                <c:pt idx="349">
                  <c:v>44748</c:v>
                </c:pt>
                <c:pt idx="350">
                  <c:v>44719</c:v>
                </c:pt>
                <c:pt idx="351">
                  <c:v>44720</c:v>
                </c:pt>
                <c:pt idx="352">
                  <c:v>44721</c:v>
                </c:pt>
                <c:pt idx="353">
                  <c:v>44722</c:v>
                </c:pt>
                <c:pt idx="354">
                  <c:v>44726</c:v>
                </c:pt>
                <c:pt idx="355">
                  <c:v>44727</c:v>
                </c:pt>
                <c:pt idx="356">
                  <c:v>44728</c:v>
                </c:pt>
                <c:pt idx="357">
                  <c:v>44729</c:v>
                </c:pt>
                <c:pt idx="358">
                  <c:v>44732</c:v>
                </c:pt>
                <c:pt idx="359">
                  <c:v>44733</c:v>
                </c:pt>
                <c:pt idx="360">
                  <c:v>44734</c:v>
                </c:pt>
                <c:pt idx="361">
                  <c:v>44735</c:v>
                </c:pt>
                <c:pt idx="362">
                  <c:v>44736</c:v>
                </c:pt>
                <c:pt idx="363">
                  <c:v>44739</c:v>
                </c:pt>
                <c:pt idx="364">
                  <c:v>44740</c:v>
                </c:pt>
                <c:pt idx="365">
                  <c:v>44741</c:v>
                </c:pt>
                <c:pt idx="366">
                  <c:v>44742</c:v>
                </c:pt>
                <c:pt idx="367">
                  <c:v>44743</c:v>
                </c:pt>
                <c:pt idx="368">
                  <c:v>44746</c:v>
                </c:pt>
                <c:pt idx="369">
                  <c:v>44747</c:v>
                </c:pt>
                <c:pt idx="370">
                  <c:v>44748</c:v>
                </c:pt>
                <c:pt idx="371">
                  <c:v>44749</c:v>
                </c:pt>
                <c:pt idx="372">
                  <c:v>44750</c:v>
                </c:pt>
                <c:pt idx="373">
                  <c:v>44755</c:v>
                </c:pt>
                <c:pt idx="374">
                  <c:v>44756</c:v>
                </c:pt>
                <c:pt idx="375">
                  <c:v>44757</c:v>
                </c:pt>
                <c:pt idx="376">
                  <c:v>44760</c:v>
                </c:pt>
                <c:pt idx="377">
                  <c:v>44761</c:v>
                </c:pt>
                <c:pt idx="378">
                  <c:v>44762</c:v>
                </c:pt>
                <c:pt idx="379">
                  <c:v>44763</c:v>
                </c:pt>
                <c:pt idx="380">
                  <c:v>44764</c:v>
                </c:pt>
                <c:pt idx="381">
                  <c:v>44767</c:v>
                </c:pt>
                <c:pt idx="382">
                  <c:v>44768</c:v>
                </c:pt>
                <c:pt idx="383">
                  <c:v>44769</c:v>
                </c:pt>
                <c:pt idx="384">
                  <c:v>44770</c:v>
                </c:pt>
                <c:pt idx="385">
                  <c:v>44771</c:v>
                </c:pt>
                <c:pt idx="386">
                  <c:v>44774</c:v>
                </c:pt>
                <c:pt idx="387">
                  <c:v>44775</c:v>
                </c:pt>
                <c:pt idx="388">
                  <c:v>44776</c:v>
                </c:pt>
                <c:pt idx="389">
                  <c:v>44777</c:v>
                </c:pt>
                <c:pt idx="390">
                  <c:v>44778</c:v>
                </c:pt>
                <c:pt idx="391">
                  <c:v>44781</c:v>
                </c:pt>
                <c:pt idx="392">
                  <c:v>44782</c:v>
                </c:pt>
                <c:pt idx="393">
                  <c:v>44783</c:v>
                </c:pt>
                <c:pt idx="394">
                  <c:v>44784</c:v>
                </c:pt>
                <c:pt idx="395">
                  <c:v>44785</c:v>
                </c:pt>
                <c:pt idx="396">
                  <c:v>44788</c:v>
                </c:pt>
                <c:pt idx="397">
                  <c:v>44789</c:v>
                </c:pt>
                <c:pt idx="398">
                  <c:v>44790</c:v>
                </c:pt>
                <c:pt idx="399">
                  <c:v>44791</c:v>
                </c:pt>
                <c:pt idx="400">
                  <c:v>44792</c:v>
                </c:pt>
                <c:pt idx="401">
                  <c:v>44795</c:v>
                </c:pt>
                <c:pt idx="402">
                  <c:v>44796</c:v>
                </c:pt>
                <c:pt idx="403">
                  <c:v>44797</c:v>
                </c:pt>
                <c:pt idx="404">
                  <c:v>44798</c:v>
                </c:pt>
                <c:pt idx="405">
                  <c:v>44799</c:v>
                </c:pt>
                <c:pt idx="406">
                  <c:v>44802</c:v>
                </c:pt>
                <c:pt idx="407">
                  <c:v>44803</c:v>
                </c:pt>
                <c:pt idx="408">
                  <c:v>44804</c:v>
                </c:pt>
                <c:pt idx="409">
                  <c:v>44805</c:v>
                </c:pt>
                <c:pt idx="410">
                  <c:v>44806</c:v>
                </c:pt>
                <c:pt idx="411">
                  <c:v>44809</c:v>
                </c:pt>
                <c:pt idx="412">
                  <c:v>44810</c:v>
                </c:pt>
                <c:pt idx="413">
                  <c:v>44811</c:v>
                </c:pt>
                <c:pt idx="414">
                  <c:v>44812</c:v>
                </c:pt>
                <c:pt idx="415">
                  <c:v>44813</c:v>
                </c:pt>
                <c:pt idx="416">
                  <c:v>44816</c:v>
                </c:pt>
                <c:pt idx="417">
                  <c:v>44817</c:v>
                </c:pt>
                <c:pt idx="418">
                  <c:v>44818</c:v>
                </c:pt>
                <c:pt idx="419">
                  <c:v>44819</c:v>
                </c:pt>
                <c:pt idx="420">
                  <c:v>44820</c:v>
                </c:pt>
                <c:pt idx="421">
                  <c:v>44823</c:v>
                </c:pt>
                <c:pt idx="422">
                  <c:v>44824</c:v>
                </c:pt>
                <c:pt idx="423">
                  <c:v>44825</c:v>
                </c:pt>
                <c:pt idx="424">
                  <c:v>44826</c:v>
                </c:pt>
                <c:pt idx="425">
                  <c:v>44827</c:v>
                </c:pt>
                <c:pt idx="426">
                  <c:v>44830</c:v>
                </c:pt>
                <c:pt idx="427">
                  <c:v>44831</c:v>
                </c:pt>
                <c:pt idx="428">
                  <c:v>44832</c:v>
                </c:pt>
                <c:pt idx="429">
                  <c:v>44833</c:v>
                </c:pt>
                <c:pt idx="430">
                  <c:v>44834</c:v>
                </c:pt>
                <c:pt idx="431">
                  <c:v>44838</c:v>
                </c:pt>
                <c:pt idx="432">
                  <c:v>44839</c:v>
                </c:pt>
                <c:pt idx="433">
                  <c:v>44840</c:v>
                </c:pt>
                <c:pt idx="434">
                  <c:v>44841</c:v>
                </c:pt>
                <c:pt idx="435">
                  <c:v>44845</c:v>
                </c:pt>
                <c:pt idx="436">
                  <c:v>44846</c:v>
                </c:pt>
                <c:pt idx="437">
                  <c:v>44847</c:v>
                </c:pt>
                <c:pt idx="438">
                  <c:v>44848</c:v>
                </c:pt>
                <c:pt idx="439">
                  <c:v>44851</c:v>
                </c:pt>
                <c:pt idx="440">
                  <c:v>44852</c:v>
                </c:pt>
                <c:pt idx="441">
                  <c:v>44853</c:v>
                </c:pt>
                <c:pt idx="442">
                  <c:v>44854</c:v>
                </c:pt>
                <c:pt idx="443">
                  <c:v>44855</c:v>
                </c:pt>
                <c:pt idx="444">
                  <c:v>44858</c:v>
                </c:pt>
                <c:pt idx="445">
                  <c:v>44859</c:v>
                </c:pt>
                <c:pt idx="446">
                  <c:v>44860</c:v>
                </c:pt>
                <c:pt idx="447">
                  <c:v>44861</c:v>
                </c:pt>
                <c:pt idx="448">
                  <c:v>44862</c:v>
                </c:pt>
                <c:pt idx="449">
                  <c:v>44865</c:v>
                </c:pt>
                <c:pt idx="450">
                  <c:v>44866</c:v>
                </c:pt>
                <c:pt idx="451">
                  <c:v>44867</c:v>
                </c:pt>
                <c:pt idx="452">
                  <c:v>44868</c:v>
                </c:pt>
                <c:pt idx="453">
                  <c:v>44869</c:v>
                </c:pt>
                <c:pt idx="454">
                  <c:v>44872</c:v>
                </c:pt>
                <c:pt idx="455">
                  <c:v>44873</c:v>
                </c:pt>
                <c:pt idx="456">
                  <c:v>44874</c:v>
                </c:pt>
                <c:pt idx="457">
                  <c:v>44875</c:v>
                </c:pt>
                <c:pt idx="458">
                  <c:v>44876</c:v>
                </c:pt>
                <c:pt idx="459">
                  <c:v>44879</c:v>
                </c:pt>
                <c:pt idx="460">
                  <c:v>44880</c:v>
                </c:pt>
                <c:pt idx="461">
                  <c:v>44881</c:v>
                </c:pt>
                <c:pt idx="462">
                  <c:v>44882</c:v>
                </c:pt>
                <c:pt idx="463">
                  <c:v>44883</c:v>
                </c:pt>
                <c:pt idx="464">
                  <c:v>44886</c:v>
                </c:pt>
                <c:pt idx="465">
                  <c:v>44887</c:v>
                </c:pt>
                <c:pt idx="466">
                  <c:v>44888</c:v>
                </c:pt>
                <c:pt idx="467">
                  <c:v>44889</c:v>
                </c:pt>
                <c:pt idx="468">
                  <c:v>44890</c:v>
                </c:pt>
                <c:pt idx="469">
                  <c:v>44893</c:v>
                </c:pt>
                <c:pt idx="470">
                  <c:v>44894</c:v>
                </c:pt>
                <c:pt idx="471">
                  <c:v>44895</c:v>
                </c:pt>
                <c:pt idx="472">
                  <c:v>44896</c:v>
                </c:pt>
                <c:pt idx="473">
                  <c:v>44897</c:v>
                </c:pt>
                <c:pt idx="474">
                  <c:v>44900</c:v>
                </c:pt>
                <c:pt idx="475">
                  <c:v>44901</c:v>
                </c:pt>
                <c:pt idx="476">
                  <c:v>44902</c:v>
                </c:pt>
                <c:pt idx="477">
                  <c:v>44903</c:v>
                </c:pt>
                <c:pt idx="478">
                  <c:v>44904</c:v>
                </c:pt>
                <c:pt idx="479">
                  <c:v>44907</c:v>
                </c:pt>
                <c:pt idx="480">
                  <c:v>44908</c:v>
                </c:pt>
                <c:pt idx="481">
                  <c:v>44909</c:v>
                </c:pt>
                <c:pt idx="482">
                  <c:v>44910</c:v>
                </c:pt>
                <c:pt idx="483">
                  <c:v>44911</c:v>
                </c:pt>
                <c:pt idx="484">
                  <c:v>44914</c:v>
                </c:pt>
                <c:pt idx="485">
                  <c:v>44915</c:v>
                </c:pt>
                <c:pt idx="486">
                  <c:v>44916</c:v>
                </c:pt>
                <c:pt idx="487">
                  <c:v>44917</c:v>
                </c:pt>
                <c:pt idx="488">
                  <c:v>44918</c:v>
                </c:pt>
                <c:pt idx="489">
                  <c:v>44923</c:v>
                </c:pt>
                <c:pt idx="490">
                  <c:v>44924</c:v>
                </c:pt>
                <c:pt idx="491">
                  <c:v>44925</c:v>
                </c:pt>
                <c:pt idx="492">
                  <c:v>44929</c:v>
                </c:pt>
                <c:pt idx="493">
                  <c:v>44930</c:v>
                </c:pt>
                <c:pt idx="494">
                  <c:v>44931</c:v>
                </c:pt>
                <c:pt idx="495">
                  <c:v>44932</c:v>
                </c:pt>
                <c:pt idx="496">
                  <c:v>44935</c:v>
                </c:pt>
                <c:pt idx="497">
                  <c:v>44936</c:v>
                </c:pt>
                <c:pt idx="498">
                  <c:v>44937</c:v>
                </c:pt>
                <c:pt idx="499">
                  <c:v>44938</c:v>
                </c:pt>
                <c:pt idx="500">
                  <c:v>44939</c:v>
                </c:pt>
                <c:pt idx="501">
                  <c:v>44942</c:v>
                </c:pt>
                <c:pt idx="502">
                  <c:v>44943</c:v>
                </c:pt>
                <c:pt idx="503">
                  <c:v>44944</c:v>
                </c:pt>
                <c:pt idx="504">
                  <c:v>44945</c:v>
                </c:pt>
                <c:pt idx="505">
                  <c:v>44946</c:v>
                </c:pt>
                <c:pt idx="506">
                  <c:v>44949</c:v>
                </c:pt>
                <c:pt idx="507">
                  <c:v>44950</c:v>
                </c:pt>
                <c:pt idx="508">
                  <c:v>44951</c:v>
                </c:pt>
                <c:pt idx="509">
                  <c:v>44952</c:v>
                </c:pt>
                <c:pt idx="510">
                  <c:v>44953</c:v>
                </c:pt>
                <c:pt idx="511">
                  <c:v>44956</c:v>
                </c:pt>
                <c:pt idx="512">
                  <c:v>44957</c:v>
                </c:pt>
                <c:pt idx="513">
                  <c:v>44958</c:v>
                </c:pt>
                <c:pt idx="514">
                  <c:v>44959</c:v>
                </c:pt>
                <c:pt idx="515">
                  <c:v>44960</c:v>
                </c:pt>
                <c:pt idx="516">
                  <c:v>44963</c:v>
                </c:pt>
                <c:pt idx="517">
                  <c:v>44964</c:v>
                </c:pt>
                <c:pt idx="518">
                  <c:v>44965</c:v>
                </c:pt>
                <c:pt idx="519">
                  <c:v>44966</c:v>
                </c:pt>
                <c:pt idx="520">
                  <c:v>44967</c:v>
                </c:pt>
                <c:pt idx="521">
                  <c:v>44970</c:v>
                </c:pt>
                <c:pt idx="522">
                  <c:v>44971</c:v>
                </c:pt>
                <c:pt idx="523">
                  <c:v>44972</c:v>
                </c:pt>
                <c:pt idx="524">
                  <c:v>44973</c:v>
                </c:pt>
                <c:pt idx="525">
                  <c:v>44974</c:v>
                </c:pt>
                <c:pt idx="526">
                  <c:v>44977</c:v>
                </c:pt>
                <c:pt idx="527">
                  <c:v>44978</c:v>
                </c:pt>
                <c:pt idx="528">
                  <c:v>44979</c:v>
                </c:pt>
                <c:pt idx="529">
                  <c:v>44980</c:v>
                </c:pt>
                <c:pt idx="530">
                  <c:v>44981</c:v>
                </c:pt>
                <c:pt idx="531">
                  <c:v>44984</c:v>
                </c:pt>
                <c:pt idx="532">
                  <c:v>44985</c:v>
                </c:pt>
                <c:pt idx="533">
                  <c:v>44986</c:v>
                </c:pt>
                <c:pt idx="534">
                  <c:v>44987</c:v>
                </c:pt>
                <c:pt idx="535">
                  <c:v>44988</c:v>
                </c:pt>
                <c:pt idx="536">
                  <c:v>44991</c:v>
                </c:pt>
                <c:pt idx="537">
                  <c:v>44992</c:v>
                </c:pt>
                <c:pt idx="538">
                  <c:v>44993</c:v>
                </c:pt>
                <c:pt idx="539">
                  <c:v>44993</c:v>
                </c:pt>
                <c:pt idx="540">
                  <c:v>44994</c:v>
                </c:pt>
                <c:pt idx="541">
                  <c:v>44995</c:v>
                </c:pt>
                <c:pt idx="542">
                  <c:v>44998</c:v>
                </c:pt>
                <c:pt idx="543">
                  <c:v>44999</c:v>
                </c:pt>
                <c:pt idx="544">
                  <c:v>45000</c:v>
                </c:pt>
                <c:pt idx="545">
                  <c:v>45001</c:v>
                </c:pt>
                <c:pt idx="546">
                  <c:v>45002</c:v>
                </c:pt>
                <c:pt idx="547">
                  <c:v>45005</c:v>
                </c:pt>
                <c:pt idx="548">
                  <c:v>45006</c:v>
                </c:pt>
                <c:pt idx="549">
                  <c:v>45007</c:v>
                </c:pt>
                <c:pt idx="550">
                  <c:v>45008</c:v>
                </c:pt>
                <c:pt idx="551">
                  <c:v>45009</c:v>
                </c:pt>
                <c:pt idx="552">
                  <c:v>45012</c:v>
                </c:pt>
                <c:pt idx="553">
                  <c:v>45013</c:v>
                </c:pt>
                <c:pt idx="554">
                  <c:v>45014</c:v>
                </c:pt>
                <c:pt idx="555">
                  <c:v>45015</c:v>
                </c:pt>
                <c:pt idx="556">
                  <c:v>45016</c:v>
                </c:pt>
                <c:pt idx="557">
                  <c:v>45019</c:v>
                </c:pt>
                <c:pt idx="558">
                  <c:v>45020</c:v>
                </c:pt>
                <c:pt idx="559">
                  <c:v>45021</c:v>
                </c:pt>
                <c:pt idx="560">
                  <c:v>45022</c:v>
                </c:pt>
                <c:pt idx="561">
                  <c:v>45027</c:v>
                </c:pt>
                <c:pt idx="562">
                  <c:v>45028</c:v>
                </c:pt>
                <c:pt idx="563">
                  <c:v>45029</c:v>
                </c:pt>
                <c:pt idx="564">
                  <c:v>45030</c:v>
                </c:pt>
                <c:pt idx="565">
                  <c:v>45033</c:v>
                </c:pt>
                <c:pt idx="566">
                  <c:v>45034</c:v>
                </c:pt>
                <c:pt idx="567">
                  <c:v>45035</c:v>
                </c:pt>
                <c:pt idx="568">
                  <c:v>45036</c:v>
                </c:pt>
                <c:pt idx="569">
                  <c:v>45041</c:v>
                </c:pt>
                <c:pt idx="570">
                  <c:v>45042</c:v>
                </c:pt>
                <c:pt idx="571">
                  <c:v>45043</c:v>
                </c:pt>
                <c:pt idx="572">
                  <c:v>45044</c:v>
                </c:pt>
                <c:pt idx="573">
                  <c:v>45048</c:v>
                </c:pt>
                <c:pt idx="574">
                  <c:v>45049</c:v>
                </c:pt>
                <c:pt idx="575">
                  <c:v>45050</c:v>
                </c:pt>
                <c:pt idx="576">
                  <c:v>45051</c:v>
                </c:pt>
              </c:numCache>
            </c:numRef>
          </c:cat>
          <c:val>
            <c:numRef>
              <c:f>'[Financial Market Update Report.xlsx]Equities'!$B$2:$B$584</c:f>
              <c:numCache>
                <c:formatCode>_-* #,##0.00_-;\-* #,##0.00_-;_-* "-"??_-;_-@_-</c:formatCode>
                <c:ptCount val="583"/>
                <c:pt idx="0">
                  <c:v>41147.39</c:v>
                </c:pt>
                <c:pt idx="1">
                  <c:v>40396.14</c:v>
                </c:pt>
                <c:pt idx="2">
                  <c:v>40465.15</c:v>
                </c:pt>
                <c:pt idx="3">
                  <c:v>40590.120000000003</c:v>
                </c:pt>
                <c:pt idx="4">
                  <c:v>40120.22</c:v>
                </c:pt>
                <c:pt idx="5">
                  <c:v>40150.78</c:v>
                </c:pt>
                <c:pt idx="6">
                  <c:v>40295.949999999997</c:v>
                </c:pt>
                <c:pt idx="7">
                  <c:v>40341.050000000003</c:v>
                </c:pt>
                <c:pt idx="8">
                  <c:v>40963.14</c:v>
                </c:pt>
                <c:pt idx="9">
                  <c:v>41176.14</c:v>
                </c:pt>
                <c:pt idx="10">
                  <c:v>41082.379999999997</c:v>
                </c:pt>
                <c:pt idx="11">
                  <c:v>41051.629999999997</c:v>
                </c:pt>
                <c:pt idx="12">
                  <c:v>41147.72</c:v>
                </c:pt>
                <c:pt idx="13">
                  <c:v>41099.15</c:v>
                </c:pt>
                <c:pt idx="14">
                  <c:v>41001.19</c:v>
                </c:pt>
                <c:pt idx="15">
                  <c:v>41088.959999999999</c:v>
                </c:pt>
                <c:pt idx="16">
                  <c:v>41584.94</c:v>
                </c:pt>
                <c:pt idx="17">
                  <c:v>41930.730000000003</c:v>
                </c:pt>
                <c:pt idx="18">
                  <c:v>42169.41</c:v>
                </c:pt>
                <c:pt idx="19">
                  <c:v>42412.66</c:v>
                </c:pt>
                <c:pt idx="20">
                  <c:v>42357.9</c:v>
                </c:pt>
                <c:pt idx="21">
                  <c:v>42043.79</c:v>
                </c:pt>
                <c:pt idx="22">
                  <c:v>42000.01</c:v>
                </c:pt>
                <c:pt idx="23">
                  <c:v>41785.800000000003</c:v>
                </c:pt>
                <c:pt idx="24">
                  <c:v>41709.089999999997</c:v>
                </c:pt>
                <c:pt idx="25">
                  <c:v>41564.31</c:v>
                </c:pt>
                <c:pt idx="26">
                  <c:v>41510.160000000003</c:v>
                </c:pt>
                <c:pt idx="27">
                  <c:v>40696.01</c:v>
                </c:pt>
                <c:pt idx="28">
                  <c:v>41014.300000000003</c:v>
                </c:pt>
                <c:pt idx="29">
                  <c:v>40439.85</c:v>
                </c:pt>
                <c:pt idx="30">
                  <c:v>40573.31</c:v>
                </c:pt>
                <c:pt idx="31">
                  <c:v>40494.35</c:v>
                </c:pt>
                <c:pt idx="32">
                  <c:v>40465.32</c:v>
                </c:pt>
                <c:pt idx="33">
                  <c:v>40212.19</c:v>
                </c:pt>
                <c:pt idx="34">
                  <c:v>40186.699999999997</c:v>
                </c:pt>
                <c:pt idx="35">
                  <c:v>40154.089999999997</c:v>
                </c:pt>
                <c:pt idx="36">
                  <c:v>40164.86</c:v>
                </c:pt>
                <c:pt idx="37">
                  <c:v>40221.300000000003</c:v>
                </c:pt>
                <c:pt idx="38">
                  <c:v>40095.49</c:v>
                </c:pt>
                <c:pt idx="39">
                  <c:v>39799.89</c:v>
                </c:pt>
                <c:pt idx="40">
                  <c:v>39931.629999999997</c:v>
                </c:pt>
                <c:pt idx="41">
                  <c:v>39697.620000000003</c:v>
                </c:pt>
                <c:pt idx="42">
                  <c:v>39522.06</c:v>
                </c:pt>
                <c:pt idx="43">
                  <c:v>39364.67</c:v>
                </c:pt>
                <c:pt idx="44">
                  <c:v>39331.61</c:v>
                </c:pt>
                <c:pt idx="45">
                  <c:v>39396.57</c:v>
                </c:pt>
                <c:pt idx="46">
                  <c:v>38686.85</c:v>
                </c:pt>
                <c:pt idx="47">
                  <c:v>38931.25</c:v>
                </c:pt>
                <c:pt idx="48">
                  <c:v>38697.17</c:v>
                </c:pt>
                <c:pt idx="49">
                  <c:v>38648.480000000003</c:v>
                </c:pt>
                <c:pt idx="50">
                  <c:v>38561.839999999997</c:v>
                </c:pt>
                <c:pt idx="51">
                  <c:v>38720.81</c:v>
                </c:pt>
                <c:pt idx="52">
                  <c:v>38706.129999999997</c:v>
                </c:pt>
                <c:pt idx="53">
                  <c:v>38914.839999999997</c:v>
                </c:pt>
                <c:pt idx="54">
                  <c:v>38382.39</c:v>
                </c:pt>
                <c:pt idx="55">
                  <c:v>38722.870000000003</c:v>
                </c:pt>
                <c:pt idx="56">
                  <c:v>38704.97</c:v>
                </c:pt>
                <c:pt idx="57">
                  <c:v>39085.78</c:v>
                </c:pt>
                <c:pt idx="58">
                  <c:v>39293.14</c:v>
                </c:pt>
                <c:pt idx="59">
                  <c:v>39216.699999999997</c:v>
                </c:pt>
                <c:pt idx="60">
                  <c:v>39493.370000000003</c:v>
                </c:pt>
                <c:pt idx="61">
                  <c:v>39267.11</c:v>
                </c:pt>
                <c:pt idx="62">
                  <c:v>39045.129999999997</c:v>
                </c:pt>
                <c:pt idx="63">
                  <c:v>38916.74</c:v>
                </c:pt>
                <c:pt idx="64">
                  <c:v>38766.61</c:v>
                </c:pt>
                <c:pt idx="65">
                  <c:v>38774.03</c:v>
                </c:pt>
                <c:pt idx="66">
                  <c:v>38799.83</c:v>
                </c:pt>
                <c:pt idx="67">
                  <c:v>38866.39</c:v>
                </c:pt>
                <c:pt idx="68">
                  <c:v>38710.924440000003</c:v>
                </c:pt>
                <c:pt idx="69">
                  <c:v>38598.660000000003</c:v>
                </c:pt>
                <c:pt idx="70">
                  <c:v>38636.15</c:v>
                </c:pt>
                <c:pt idx="71">
                  <c:v>38571.89</c:v>
                </c:pt>
                <c:pt idx="72">
                  <c:v>38808.01</c:v>
                </c:pt>
                <c:pt idx="73">
                  <c:v>38854.730000000003</c:v>
                </c:pt>
                <c:pt idx="74">
                  <c:v>39015.58</c:v>
                </c:pt>
                <c:pt idx="75">
                  <c:v>39128.339999999997</c:v>
                </c:pt>
                <c:pt idx="76">
                  <c:v>39132.252833999999</c:v>
                </c:pt>
                <c:pt idx="77">
                  <c:v>39301.82</c:v>
                </c:pt>
                <c:pt idx="78">
                  <c:v>39319.75</c:v>
                </c:pt>
                <c:pt idx="79">
                  <c:v>39305.480000000003</c:v>
                </c:pt>
                <c:pt idx="80">
                  <c:v>39303.089999999997</c:v>
                </c:pt>
                <c:pt idx="81">
                  <c:v>39461.199999999997</c:v>
                </c:pt>
                <c:pt idx="82">
                  <c:v>39840.28</c:v>
                </c:pt>
                <c:pt idx="83">
                  <c:v>39801.78</c:v>
                </c:pt>
                <c:pt idx="84">
                  <c:v>39433.81</c:v>
                </c:pt>
                <c:pt idx="85">
                  <c:v>39114.730000000003</c:v>
                </c:pt>
                <c:pt idx="86">
                  <c:v>39198.75</c:v>
                </c:pt>
                <c:pt idx="87">
                  <c:v>39312.74</c:v>
                </c:pt>
                <c:pt idx="88">
                  <c:v>39382.959999999999</c:v>
                </c:pt>
                <c:pt idx="89">
                  <c:v>39494.699999999997</c:v>
                </c:pt>
                <c:pt idx="90">
                  <c:v>39306.47</c:v>
                </c:pt>
                <c:pt idx="91">
                  <c:v>39023.279999999999</c:v>
                </c:pt>
                <c:pt idx="92">
                  <c:v>38445.089999999997</c:v>
                </c:pt>
                <c:pt idx="93">
                  <c:v>38328.129999999997</c:v>
                </c:pt>
                <c:pt idx="94">
                  <c:v>38324.07</c:v>
                </c:pt>
                <c:pt idx="95">
                  <c:v>38287.58</c:v>
                </c:pt>
                <c:pt idx="96">
                  <c:v>38256.76</c:v>
                </c:pt>
                <c:pt idx="97">
                  <c:v>38233.68</c:v>
                </c:pt>
                <c:pt idx="98">
                  <c:v>38056.21</c:v>
                </c:pt>
                <c:pt idx="99">
                  <c:v>38256.99</c:v>
                </c:pt>
                <c:pt idx="100">
                  <c:v>38437.879999999997</c:v>
                </c:pt>
                <c:pt idx="101">
                  <c:v>38414.370000000003</c:v>
                </c:pt>
                <c:pt idx="102">
                  <c:v>38482.519999999997</c:v>
                </c:pt>
                <c:pt idx="103">
                  <c:v>38548.239999999998</c:v>
                </c:pt>
                <c:pt idx="104">
                  <c:v>38726.1</c:v>
                </c:pt>
                <c:pt idx="105">
                  <c:v>38686.400000000001</c:v>
                </c:pt>
                <c:pt idx="106">
                  <c:v>38881.699999999997</c:v>
                </c:pt>
                <c:pt idx="107">
                  <c:v>39170.949999999997</c:v>
                </c:pt>
                <c:pt idx="108">
                  <c:v>39210.1</c:v>
                </c:pt>
                <c:pt idx="109">
                  <c:v>39156.28</c:v>
                </c:pt>
                <c:pt idx="110">
                  <c:v>38507.29</c:v>
                </c:pt>
                <c:pt idx="111">
                  <c:v>38564.699999999997</c:v>
                </c:pt>
                <c:pt idx="112">
                  <c:v>38614.449999999997</c:v>
                </c:pt>
                <c:pt idx="113">
                  <c:v>38648.910000000003</c:v>
                </c:pt>
                <c:pt idx="114">
                  <c:v>38545.300000000003</c:v>
                </c:pt>
                <c:pt idx="115">
                  <c:v>37847.07</c:v>
                </c:pt>
                <c:pt idx="116">
                  <c:v>37804.46</c:v>
                </c:pt>
                <c:pt idx="117">
                  <c:v>37954.35</c:v>
                </c:pt>
                <c:pt idx="118">
                  <c:v>37658.26</c:v>
                </c:pt>
                <c:pt idx="119">
                  <c:v>37585.25</c:v>
                </c:pt>
                <c:pt idx="120">
                  <c:v>37640.75</c:v>
                </c:pt>
                <c:pt idx="121">
                  <c:v>37907.279999999999</c:v>
                </c:pt>
                <c:pt idx="122">
                  <c:v>37898.589999999997</c:v>
                </c:pt>
                <c:pt idx="123">
                  <c:v>38212.01</c:v>
                </c:pt>
                <c:pt idx="124">
                  <c:v>38220.01</c:v>
                </c:pt>
                <c:pt idx="125">
                  <c:v>38418.04</c:v>
                </c:pt>
                <c:pt idx="126">
                  <c:v>38501.31</c:v>
                </c:pt>
                <c:pt idx="127">
                  <c:v>38469.870000000003</c:v>
                </c:pt>
                <c:pt idx="128">
                  <c:v>37994.19</c:v>
                </c:pt>
                <c:pt idx="129">
                  <c:v>37857.89</c:v>
                </c:pt>
                <c:pt idx="130">
                  <c:v>37857.24</c:v>
                </c:pt>
                <c:pt idx="131">
                  <c:v>37872.550000000003</c:v>
                </c:pt>
                <c:pt idx="132">
                  <c:v>37866.9</c:v>
                </c:pt>
                <c:pt idx="133">
                  <c:v>37947.18</c:v>
                </c:pt>
                <c:pt idx="134">
                  <c:v>37952.65</c:v>
                </c:pt>
                <c:pt idx="135">
                  <c:v>38585.519999999997</c:v>
                </c:pt>
                <c:pt idx="136">
                  <c:v>38667.9</c:v>
                </c:pt>
                <c:pt idx="137">
                  <c:v>38849.08</c:v>
                </c:pt>
                <c:pt idx="138">
                  <c:v>38802.15</c:v>
                </c:pt>
                <c:pt idx="139">
                  <c:v>38791.03</c:v>
                </c:pt>
                <c:pt idx="140">
                  <c:v>38484.82</c:v>
                </c:pt>
                <c:pt idx="141">
                  <c:v>38547.08</c:v>
                </c:pt>
                <c:pt idx="142">
                  <c:v>38604.720000000001</c:v>
                </c:pt>
                <c:pt idx="143">
                  <c:v>38917.99</c:v>
                </c:pt>
                <c:pt idx="144">
                  <c:v>38927.83</c:v>
                </c:pt>
                <c:pt idx="145">
                  <c:v>38801.51</c:v>
                </c:pt>
                <c:pt idx="146">
                  <c:v>38811.11</c:v>
                </c:pt>
                <c:pt idx="147">
                  <c:v>38567.26</c:v>
                </c:pt>
                <c:pt idx="148">
                  <c:v>39176.620000000003</c:v>
                </c:pt>
                <c:pt idx="149">
                  <c:v>39448.46</c:v>
                </c:pt>
                <c:pt idx="150">
                  <c:v>39490.06</c:v>
                </c:pt>
                <c:pt idx="151">
                  <c:v>39522.339999999997</c:v>
                </c:pt>
                <c:pt idx="152">
                  <c:v>39508.410000000003</c:v>
                </c:pt>
                <c:pt idx="153">
                  <c:v>39550.36</c:v>
                </c:pt>
                <c:pt idx="154">
                  <c:v>39545.67</c:v>
                </c:pt>
                <c:pt idx="155">
                  <c:v>39670.29</c:v>
                </c:pt>
                <c:pt idx="156">
                  <c:v>39483.08</c:v>
                </c:pt>
                <c:pt idx="157">
                  <c:v>39434.69</c:v>
                </c:pt>
                <c:pt idx="158">
                  <c:v>39460.68</c:v>
                </c:pt>
                <c:pt idx="159">
                  <c:v>39450</c:v>
                </c:pt>
                <c:pt idx="160">
                  <c:v>39477.18</c:v>
                </c:pt>
                <c:pt idx="161">
                  <c:v>39485.65</c:v>
                </c:pt>
                <c:pt idx="162">
                  <c:v>39326.67</c:v>
                </c:pt>
                <c:pt idx="163">
                  <c:v>39219.61</c:v>
                </c:pt>
                <c:pt idx="164">
                  <c:v>39184.22</c:v>
                </c:pt>
                <c:pt idx="165">
                  <c:v>39252.19</c:v>
                </c:pt>
                <c:pt idx="166">
                  <c:v>39261.01</c:v>
                </c:pt>
                <c:pt idx="167">
                  <c:v>39252.980000000003</c:v>
                </c:pt>
                <c:pt idx="168">
                  <c:v>39251.29</c:v>
                </c:pt>
                <c:pt idx="169">
                  <c:v>39204.519999999997</c:v>
                </c:pt>
                <c:pt idx="170">
                  <c:v>39201.33</c:v>
                </c:pt>
                <c:pt idx="171">
                  <c:v>38921.78</c:v>
                </c:pt>
                <c:pt idx="172">
                  <c:v>38915.620000000003</c:v>
                </c:pt>
                <c:pt idx="173">
                  <c:v>38920.5</c:v>
                </c:pt>
                <c:pt idx="174">
                  <c:v>38968.339999999997</c:v>
                </c:pt>
                <c:pt idx="175">
                  <c:v>38911.339999999997</c:v>
                </c:pt>
                <c:pt idx="176">
                  <c:v>38943.870000000003</c:v>
                </c:pt>
                <c:pt idx="177">
                  <c:v>38906.42</c:v>
                </c:pt>
                <c:pt idx="178">
                  <c:v>38873.85</c:v>
                </c:pt>
                <c:pt idx="179">
                  <c:v>38852.69</c:v>
                </c:pt>
                <c:pt idx="180">
                  <c:v>38874.129999999997</c:v>
                </c:pt>
                <c:pt idx="181">
                  <c:v>38962.28</c:v>
                </c:pt>
                <c:pt idx="182">
                  <c:v>38864.33</c:v>
                </c:pt>
                <c:pt idx="183">
                  <c:v>38858.99</c:v>
                </c:pt>
                <c:pt idx="184">
                  <c:v>39592.29</c:v>
                </c:pt>
                <c:pt idx="185">
                  <c:v>40221.17</c:v>
                </c:pt>
                <c:pt idx="186">
                  <c:v>40243.050000000003</c:v>
                </c:pt>
                <c:pt idx="187">
                  <c:v>40716.660000000003</c:v>
                </c:pt>
                <c:pt idx="188">
                  <c:v>40765.199999999997</c:v>
                </c:pt>
                <c:pt idx="189">
                  <c:v>40829.15</c:v>
                </c:pt>
                <c:pt idx="190">
                  <c:v>40868.36</c:v>
                </c:pt>
                <c:pt idx="191">
                  <c:v>40714.22</c:v>
                </c:pt>
                <c:pt idx="192">
                  <c:v>40896.959999999999</c:v>
                </c:pt>
                <c:pt idx="193">
                  <c:v>41051.19</c:v>
                </c:pt>
                <c:pt idx="194">
                  <c:v>41129.980000000003</c:v>
                </c:pt>
                <c:pt idx="195">
                  <c:v>41438.15</c:v>
                </c:pt>
                <c:pt idx="196">
                  <c:v>41144.67</c:v>
                </c:pt>
                <c:pt idx="197">
                  <c:v>41249.71</c:v>
                </c:pt>
                <c:pt idx="198">
                  <c:v>41704.11</c:v>
                </c:pt>
                <c:pt idx="199">
                  <c:v>41763.26</c:v>
                </c:pt>
                <c:pt idx="200">
                  <c:v>41814.71</c:v>
                </c:pt>
                <c:pt idx="201">
                  <c:v>41814.94</c:v>
                </c:pt>
                <c:pt idx="202">
                  <c:v>41789.589999999997</c:v>
                </c:pt>
                <c:pt idx="203">
                  <c:v>41961.14</c:v>
                </c:pt>
                <c:pt idx="204">
                  <c:v>42038.6</c:v>
                </c:pt>
                <c:pt idx="205">
                  <c:v>41976.79</c:v>
                </c:pt>
                <c:pt idx="206">
                  <c:v>42013.39</c:v>
                </c:pt>
                <c:pt idx="207">
                  <c:v>41975.45</c:v>
                </c:pt>
                <c:pt idx="208">
                  <c:v>41943.83</c:v>
                </c:pt>
                <c:pt idx="209">
                  <c:v>42014.5</c:v>
                </c:pt>
                <c:pt idx="210">
                  <c:v>43246.87</c:v>
                </c:pt>
                <c:pt idx="211">
                  <c:v>43730.55</c:v>
                </c:pt>
                <c:pt idx="212">
                  <c:v>43707.3</c:v>
                </c:pt>
                <c:pt idx="213">
                  <c:v>43609.06</c:v>
                </c:pt>
                <c:pt idx="214">
                  <c:v>43253.01</c:v>
                </c:pt>
                <c:pt idx="215">
                  <c:v>43230.34</c:v>
                </c:pt>
                <c:pt idx="216">
                  <c:v>43444.2</c:v>
                </c:pt>
                <c:pt idx="217">
                  <c:v>43349.9</c:v>
                </c:pt>
                <c:pt idx="218">
                  <c:v>43285.97</c:v>
                </c:pt>
                <c:pt idx="219">
                  <c:v>43199.27</c:v>
                </c:pt>
                <c:pt idx="220">
                  <c:v>43266.27</c:v>
                </c:pt>
                <c:pt idx="221">
                  <c:v>43255.14</c:v>
                </c:pt>
                <c:pt idx="222">
                  <c:v>43245.02</c:v>
                </c:pt>
                <c:pt idx="223">
                  <c:v>43108.77</c:v>
                </c:pt>
                <c:pt idx="224">
                  <c:v>43308.29</c:v>
                </c:pt>
                <c:pt idx="225">
                  <c:v>43270.94</c:v>
                </c:pt>
                <c:pt idx="226">
                  <c:v>43248.05</c:v>
                </c:pt>
                <c:pt idx="227">
                  <c:v>42463.16</c:v>
                </c:pt>
                <c:pt idx="228">
                  <c:v>42247.98</c:v>
                </c:pt>
                <c:pt idx="229">
                  <c:v>42167.91</c:v>
                </c:pt>
                <c:pt idx="230">
                  <c:v>42008.6</c:v>
                </c:pt>
                <c:pt idx="231">
                  <c:v>42018.92</c:v>
                </c:pt>
                <c:pt idx="232">
                  <c:v>42435.16</c:v>
                </c:pt>
                <c:pt idx="233">
                  <c:v>41685.22</c:v>
                </c:pt>
                <c:pt idx="234">
                  <c:v>41882.97</c:v>
                </c:pt>
                <c:pt idx="235">
                  <c:v>42411.12</c:v>
                </c:pt>
                <c:pt idx="236">
                  <c:v>42317.52</c:v>
                </c:pt>
                <c:pt idx="237">
                  <c:v>42357.36</c:v>
                </c:pt>
                <c:pt idx="238">
                  <c:v>42270.23</c:v>
                </c:pt>
                <c:pt idx="239">
                  <c:v>42353.31</c:v>
                </c:pt>
                <c:pt idx="240">
                  <c:v>42394.71</c:v>
                </c:pt>
                <c:pt idx="241">
                  <c:v>42388.57</c:v>
                </c:pt>
                <c:pt idx="242">
                  <c:v>42244.22</c:v>
                </c:pt>
                <c:pt idx="243">
                  <c:v>42230.48</c:v>
                </c:pt>
                <c:pt idx="244">
                  <c:v>42262.85</c:v>
                </c:pt>
                <c:pt idx="245">
                  <c:v>42262.85</c:v>
                </c:pt>
                <c:pt idx="246">
                  <c:v>42262.85</c:v>
                </c:pt>
                <c:pt idx="247">
                  <c:v>41807.1</c:v>
                </c:pt>
                <c:pt idx="248">
                  <c:v>41813.269999999997</c:v>
                </c:pt>
                <c:pt idx="249">
                  <c:v>42716.44</c:v>
                </c:pt>
                <c:pt idx="250">
                  <c:v>43026.23</c:v>
                </c:pt>
                <c:pt idx="251">
                  <c:v>43476.75</c:v>
                </c:pt>
                <c:pt idx="252">
                  <c:v>43607.94</c:v>
                </c:pt>
                <c:pt idx="253">
                  <c:v>43854.42</c:v>
                </c:pt>
                <c:pt idx="254">
                  <c:v>43897.13</c:v>
                </c:pt>
                <c:pt idx="255">
                  <c:v>43859.3</c:v>
                </c:pt>
                <c:pt idx="256">
                  <c:v>44608.82</c:v>
                </c:pt>
                <c:pt idx="257">
                  <c:v>44604.74</c:v>
                </c:pt>
                <c:pt idx="258">
                  <c:v>44454.67</c:v>
                </c:pt>
                <c:pt idx="259">
                  <c:v>44399.66</c:v>
                </c:pt>
                <c:pt idx="260">
                  <c:v>44655.89</c:v>
                </c:pt>
                <c:pt idx="261">
                  <c:v>45430.14</c:v>
                </c:pt>
                <c:pt idx="262">
                  <c:v>45890.52</c:v>
                </c:pt>
                <c:pt idx="263">
                  <c:v>45957.35</c:v>
                </c:pt>
                <c:pt idx="264">
                  <c:v>45928.27</c:v>
                </c:pt>
                <c:pt idx="265">
                  <c:v>45939.51</c:v>
                </c:pt>
                <c:pt idx="266">
                  <c:v>46529.99</c:v>
                </c:pt>
                <c:pt idx="267">
                  <c:v>46009.23</c:v>
                </c:pt>
                <c:pt idx="268">
                  <c:v>46205.05</c:v>
                </c:pt>
                <c:pt idx="269">
                  <c:v>46624.67</c:v>
                </c:pt>
                <c:pt idx="270">
                  <c:v>47111.21</c:v>
                </c:pt>
                <c:pt idx="271">
                  <c:v>46930.66</c:v>
                </c:pt>
                <c:pt idx="272">
                  <c:v>47329.8</c:v>
                </c:pt>
                <c:pt idx="273">
                  <c:v>47279.92</c:v>
                </c:pt>
                <c:pt idx="274">
                  <c:v>47203.39</c:v>
                </c:pt>
                <c:pt idx="275">
                  <c:v>47057.24</c:v>
                </c:pt>
                <c:pt idx="276">
                  <c:v>47157.23</c:v>
                </c:pt>
                <c:pt idx="277">
                  <c:v>47286.34</c:v>
                </c:pt>
                <c:pt idx="278">
                  <c:v>47202.3</c:v>
                </c:pt>
                <c:pt idx="279">
                  <c:v>47066.77</c:v>
                </c:pt>
                <c:pt idx="280">
                  <c:v>47064.82</c:v>
                </c:pt>
                <c:pt idx="281">
                  <c:v>47109.25</c:v>
                </c:pt>
                <c:pt idx="282">
                  <c:v>47102.64</c:v>
                </c:pt>
                <c:pt idx="283">
                  <c:v>47140.480000000003</c:v>
                </c:pt>
                <c:pt idx="284">
                  <c:v>47233.91</c:v>
                </c:pt>
                <c:pt idx="285">
                  <c:v>47246.9</c:v>
                </c:pt>
                <c:pt idx="286">
                  <c:v>47207.27</c:v>
                </c:pt>
                <c:pt idx="287">
                  <c:v>47272.04</c:v>
                </c:pt>
                <c:pt idx="288">
                  <c:v>47328.42</c:v>
                </c:pt>
                <c:pt idx="289">
                  <c:v>47394.53</c:v>
                </c:pt>
                <c:pt idx="290">
                  <c:v>47482.73</c:v>
                </c:pt>
                <c:pt idx="291">
                  <c:v>47360.79</c:v>
                </c:pt>
                <c:pt idx="292">
                  <c:v>47296.07</c:v>
                </c:pt>
                <c:pt idx="293">
                  <c:v>47268.61</c:v>
                </c:pt>
                <c:pt idx="294">
                  <c:v>47262.61</c:v>
                </c:pt>
                <c:pt idx="295">
                  <c:v>47154.35</c:v>
                </c:pt>
                <c:pt idx="296">
                  <c:v>47287.09</c:v>
                </c:pt>
                <c:pt idx="297">
                  <c:v>47363.98</c:v>
                </c:pt>
                <c:pt idx="298">
                  <c:v>47437.48</c:v>
                </c:pt>
                <c:pt idx="299">
                  <c:v>47428.67</c:v>
                </c:pt>
                <c:pt idx="300">
                  <c:v>47340.86</c:v>
                </c:pt>
                <c:pt idx="301">
                  <c:v>47364.46</c:v>
                </c:pt>
                <c:pt idx="302">
                  <c:v>47353.22</c:v>
                </c:pt>
                <c:pt idx="303">
                  <c:v>47282.67</c:v>
                </c:pt>
                <c:pt idx="304">
                  <c:v>47251.93</c:v>
                </c:pt>
                <c:pt idx="305">
                  <c:v>47156.56</c:v>
                </c:pt>
                <c:pt idx="306">
                  <c:v>47163.94</c:v>
                </c:pt>
                <c:pt idx="307">
                  <c:v>46961.62</c:v>
                </c:pt>
                <c:pt idx="308">
                  <c:v>46964.23</c:v>
                </c:pt>
                <c:pt idx="309">
                  <c:v>46893.86</c:v>
                </c:pt>
                <c:pt idx="310">
                  <c:v>46843.09</c:v>
                </c:pt>
                <c:pt idx="311">
                  <c:v>46904.480000000003</c:v>
                </c:pt>
                <c:pt idx="312">
                  <c:v>46965.48</c:v>
                </c:pt>
                <c:pt idx="313">
                  <c:v>46842.86</c:v>
                </c:pt>
                <c:pt idx="314">
                  <c:v>46687.85</c:v>
                </c:pt>
                <c:pt idx="315">
                  <c:v>46777.37</c:v>
                </c:pt>
                <c:pt idx="316">
                  <c:v>46766.16</c:v>
                </c:pt>
                <c:pt idx="317">
                  <c:v>46543.51</c:v>
                </c:pt>
                <c:pt idx="318">
                  <c:v>46631.46</c:v>
                </c:pt>
                <c:pt idx="319">
                  <c:v>46867.95</c:v>
                </c:pt>
                <c:pt idx="320">
                  <c:v>47205.03</c:v>
                </c:pt>
                <c:pt idx="321">
                  <c:v>47367.31</c:v>
                </c:pt>
                <c:pt idx="322">
                  <c:v>47510.38</c:v>
                </c:pt>
                <c:pt idx="323">
                  <c:v>47545.86</c:v>
                </c:pt>
                <c:pt idx="324">
                  <c:v>48138.71</c:v>
                </c:pt>
                <c:pt idx="325">
                  <c:v>48223.86</c:v>
                </c:pt>
                <c:pt idx="326">
                  <c:v>48459.65</c:v>
                </c:pt>
                <c:pt idx="327">
                  <c:v>48543.360000000001</c:v>
                </c:pt>
                <c:pt idx="328">
                  <c:v>48568.57</c:v>
                </c:pt>
                <c:pt idx="329">
                  <c:v>48571.75</c:v>
                </c:pt>
                <c:pt idx="330">
                  <c:v>48837.760000000002</c:v>
                </c:pt>
                <c:pt idx="331">
                  <c:v>49638.94</c:v>
                </c:pt>
                <c:pt idx="332">
                  <c:v>50126.41</c:v>
                </c:pt>
                <c:pt idx="333">
                  <c:v>50835.95</c:v>
                </c:pt>
                <c:pt idx="334">
                  <c:v>50937.01</c:v>
                </c:pt>
                <c:pt idx="335">
                  <c:v>51903.44</c:v>
                </c:pt>
                <c:pt idx="336">
                  <c:v>51805.41</c:v>
                </c:pt>
                <c:pt idx="337">
                  <c:v>52838.45</c:v>
                </c:pt>
                <c:pt idx="338">
                  <c:v>52917.760000000002</c:v>
                </c:pt>
                <c:pt idx="339">
                  <c:v>53100.21</c:v>
                </c:pt>
                <c:pt idx="340">
                  <c:v>52944.65</c:v>
                </c:pt>
                <c:pt idx="341">
                  <c:v>52756.62</c:v>
                </c:pt>
                <c:pt idx="342">
                  <c:v>52721.34</c:v>
                </c:pt>
                <c:pt idx="343">
                  <c:v>53275.49</c:v>
                </c:pt>
                <c:pt idx="344">
                  <c:v>52979.96</c:v>
                </c:pt>
                <c:pt idx="345">
                  <c:v>52911.51</c:v>
                </c:pt>
                <c:pt idx="346">
                  <c:v>51949.64</c:v>
                </c:pt>
                <c:pt idx="347">
                  <c:v>52591.41</c:v>
                </c:pt>
                <c:pt idx="348">
                  <c:v>53151.32</c:v>
                </c:pt>
                <c:pt idx="349">
                  <c:v>54085.3</c:v>
                </c:pt>
                <c:pt idx="350">
                  <c:v>53772.14</c:v>
                </c:pt>
                <c:pt idx="351">
                  <c:v>53637.14</c:v>
                </c:pt>
                <c:pt idx="352">
                  <c:v>52974.15</c:v>
                </c:pt>
                <c:pt idx="353">
                  <c:v>52840.21</c:v>
                </c:pt>
                <c:pt idx="354">
                  <c:v>52908.24</c:v>
                </c:pt>
                <c:pt idx="355">
                  <c:v>53086.86</c:v>
                </c:pt>
                <c:pt idx="356">
                  <c:v>53270.879999999997</c:v>
                </c:pt>
                <c:pt idx="357">
                  <c:v>53193.98</c:v>
                </c:pt>
                <c:pt idx="358">
                  <c:v>53170.73</c:v>
                </c:pt>
                <c:pt idx="359">
                  <c:v>53201.38</c:v>
                </c:pt>
                <c:pt idx="360">
                  <c:v>53114.65</c:v>
                </c:pt>
                <c:pt idx="361">
                  <c:v>52775.4</c:v>
                </c:pt>
                <c:pt idx="362">
                  <c:v>52411.09</c:v>
                </c:pt>
                <c:pt idx="363">
                  <c:v>51778.080000000002</c:v>
                </c:pt>
                <c:pt idx="364">
                  <c:v>50756.74</c:v>
                </c:pt>
                <c:pt idx="365">
                  <c:v>51091.75</c:v>
                </c:pt>
                <c:pt idx="366">
                  <c:v>51377.21</c:v>
                </c:pt>
                <c:pt idx="367">
                  <c:v>51618.73</c:v>
                </c:pt>
                <c:pt idx="368">
                  <c:v>51705.61</c:v>
                </c:pt>
                <c:pt idx="369">
                  <c:v>51962.85</c:v>
                </c:pt>
                <c:pt idx="370">
                  <c:v>51803.98</c:v>
                </c:pt>
                <c:pt idx="371">
                  <c:v>51802.48</c:v>
                </c:pt>
                <c:pt idx="372">
                  <c:v>51817.59</c:v>
                </c:pt>
                <c:pt idx="373">
                  <c:v>51829.67</c:v>
                </c:pt>
                <c:pt idx="374">
                  <c:v>51791.45</c:v>
                </c:pt>
                <c:pt idx="375">
                  <c:v>51586.5</c:v>
                </c:pt>
                <c:pt idx="376">
                  <c:v>51556.54</c:v>
                </c:pt>
                <c:pt idx="377">
                  <c:v>51563.73</c:v>
                </c:pt>
                <c:pt idx="378">
                  <c:v>51557.41</c:v>
                </c:pt>
                <c:pt idx="379">
                  <c:v>51390.25</c:v>
                </c:pt>
                <c:pt idx="380">
                  <c:v>51338.27</c:v>
                </c:pt>
                <c:pt idx="381">
                  <c:v>52215.12</c:v>
                </c:pt>
                <c:pt idx="382">
                  <c:v>52319.94</c:v>
                </c:pt>
                <c:pt idx="383">
                  <c:v>52308.88</c:v>
                </c:pt>
                <c:pt idx="384">
                  <c:v>52186.52</c:v>
                </c:pt>
                <c:pt idx="385">
                  <c:v>52122</c:v>
                </c:pt>
                <c:pt idx="386">
                  <c:v>51979.92</c:v>
                </c:pt>
                <c:pt idx="387">
                  <c:v>51400.53</c:v>
                </c:pt>
                <c:pt idx="388">
                  <c:v>50442.37</c:v>
                </c:pt>
                <c:pt idx="389">
                  <c:v>50188.55</c:v>
                </c:pt>
                <c:pt idx="390">
                  <c:v>49667.14</c:v>
                </c:pt>
                <c:pt idx="391">
                  <c:v>50370.25</c:v>
                </c:pt>
                <c:pt idx="392">
                  <c:v>49950.32</c:v>
                </c:pt>
                <c:pt idx="393">
                  <c:v>50626.04</c:v>
                </c:pt>
                <c:pt idx="394">
                  <c:v>50594.97</c:v>
                </c:pt>
                <c:pt idx="395">
                  <c:v>50582.3</c:v>
                </c:pt>
                <c:pt idx="396">
                  <c:v>50722.33</c:v>
                </c:pt>
                <c:pt idx="397">
                  <c:v>50489.73</c:v>
                </c:pt>
                <c:pt idx="398">
                  <c:v>49350.71</c:v>
                </c:pt>
                <c:pt idx="399">
                  <c:v>50075.47</c:v>
                </c:pt>
                <c:pt idx="400">
                  <c:v>50014.6</c:v>
                </c:pt>
                <c:pt idx="401">
                  <c:v>49664.07</c:v>
                </c:pt>
                <c:pt idx="402">
                  <c:v>49629.43</c:v>
                </c:pt>
                <c:pt idx="403">
                  <c:v>49709.46</c:v>
                </c:pt>
                <c:pt idx="404">
                  <c:v>49691.17</c:v>
                </c:pt>
                <c:pt idx="405">
                  <c:v>49546.38</c:v>
                </c:pt>
                <c:pt idx="406">
                  <c:v>49370.62</c:v>
                </c:pt>
                <c:pt idx="407">
                  <c:v>49346.400000000001</c:v>
                </c:pt>
                <c:pt idx="408">
                  <c:v>48554.76</c:v>
                </c:pt>
                <c:pt idx="409">
                  <c:v>48675.33</c:v>
                </c:pt>
                <c:pt idx="410">
                  <c:v>49661.87</c:v>
                </c:pt>
                <c:pt idx="411">
                  <c:v>49682.15</c:v>
                </c:pt>
                <c:pt idx="412">
                  <c:v>49676.75</c:v>
                </c:pt>
                <c:pt idx="413">
                  <c:v>49642.69</c:v>
                </c:pt>
                <c:pt idx="414">
                  <c:v>49836.51</c:v>
                </c:pt>
                <c:pt idx="415">
                  <c:v>49889.88</c:v>
                </c:pt>
                <c:pt idx="416">
                  <c:v>50045.83</c:v>
                </c:pt>
                <c:pt idx="417">
                  <c:v>49991.41</c:v>
                </c:pt>
                <c:pt idx="418">
                  <c:v>49644.92</c:v>
                </c:pt>
                <c:pt idx="419">
                  <c:v>49599.73</c:v>
                </c:pt>
                <c:pt idx="420">
                  <c:v>49652.25</c:v>
                </c:pt>
                <c:pt idx="421">
                  <c:v>49695.12</c:v>
                </c:pt>
                <c:pt idx="422">
                  <c:v>49626.05</c:v>
                </c:pt>
                <c:pt idx="423">
                  <c:v>49627.72</c:v>
                </c:pt>
                <c:pt idx="424">
                  <c:v>49576.05</c:v>
                </c:pt>
                <c:pt idx="425">
                  <c:v>49540.480000000003</c:v>
                </c:pt>
                <c:pt idx="426">
                  <c:v>49475.42</c:v>
                </c:pt>
                <c:pt idx="427">
                  <c:v>49440.21</c:v>
                </c:pt>
                <c:pt idx="428">
                  <c:v>49445.31</c:v>
                </c:pt>
                <c:pt idx="429">
                  <c:v>49421.91</c:v>
                </c:pt>
                <c:pt idx="430">
                  <c:v>49190.34</c:v>
                </c:pt>
                <c:pt idx="431">
                  <c:v>49026.62</c:v>
                </c:pt>
                <c:pt idx="432">
                  <c:v>49189.32</c:v>
                </c:pt>
                <c:pt idx="433">
                  <c:v>49161.45</c:v>
                </c:pt>
                <c:pt idx="434">
                  <c:v>49171.7</c:v>
                </c:pt>
                <c:pt idx="435">
                  <c:v>48964.83</c:v>
                </c:pt>
                <c:pt idx="436">
                  <c:v>49024.160000000003</c:v>
                </c:pt>
                <c:pt idx="437">
                  <c:v>48879.74</c:v>
                </c:pt>
                <c:pt idx="438">
                  <c:v>48836.7</c:v>
                </c:pt>
                <c:pt idx="439">
                  <c:v>47260.89</c:v>
                </c:pt>
                <c:pt idx="440">
                  <c:v>47351.43</c:v>
                </c:pt>
                <c:pt idx="441">
                  <c:v>47565.919999999998</c:v>
                </c:pt>
                <c:pt idx="442">
                  <c:v>47531.839999999997</c:v>
                </c:pt>
                <c:pt idx="443">
                  <c:v>47524.38</c:v>
                </c:pt>
                <c:pt idx="444">
                  <c:v>47569.04</c:v>
                </c:pt>
                <c:pt idx="445">
                  <c:v>46365.95</c:v>
                </c:pt>
                <c:pt idx="446">
                  <c:v>45366.32</c:v>
                </c:pt>
                <c:pt idx="447">
                  <c:v>44318.15</c:v>
                </c:pt>
                <c:pt idx="448">
                  <c:v>44332.21</c:v>
                </c:pt>
                <c:pt idx="449">
                  <c:v>44396.73</c:v>
                </c:pt>
                <c:pt idx="450">
                  <c:v>44461.63</c:v>
                </c:pt>
                <c:pt idx="451">
                  <c:v>44788.14</c:v>
                </c:pt>
                <c:pt idx="452">
                  <c:v>44859.78</c:v>
                </c:pt>
                <c:pt idx="453">
                  <c:v>44625.18</c:v>
                </c:pt>
                <c:pt idx="454">
                  <c:v>43912.639999999999</c:v>
                </c:pt>
                <c:pt idx="455">
                  <c:v>43839.08</c:v>
                </c:pt>
                <c:pt idx="456">
                  <c:v>43745.73</c:v>
                </c:pt>
                <c:pt idx="457">
                  <c:v>44283.02</c:v>
                </c:pt>
                <c:pt idx="458">
                  <c:v>44236.7</c:v>
                </c:pt>
                <c:pt idx="459">
                  <c:v>44269.18</c:v>
                </c:pt>
                <c:pt idx="460">
                  <c:v>44269.43</c:v>
                </c:pt>
                <c:pt idx="461">
                  <c:v>43461.599999999999</c:v>
                </c:pt>
                <c:pt idx="462">
                  <c:v>43477.48</c:v>
                </c:pt>
                <c:pt idx="463">
                  <c:v>43942.82</c:v>
                </c:pt>
                <c:pt idx="464">
                  <c:v>43968.75</c:v>
                </c:pt>
                <c:pt idx="465">
                  <c:v>43818.12</c:v>
                </c:pt>
                <c:pt idx="466">
                  <c:v>43808.25</c:v>
                </c:pt>
                <c:pt idx="467">
                  <c:v>44046.94</c:v>
                </c:pt>
                <c:pt idx="468">
                  <c:v>44011.22</c:v>
                </c:pt>
                <c:pt idx="469">
                  <c:v>44492.73</c:v>
                </c:pt>
                <c:pt idx="470">
                  <c:v>44662.96</c:v>
                </c:pt>
                <c:pt idx="471">
                  <c:v>44929.33</c:v>
                </c:pt>
                <c:pt idx="472">
                  <c:v>46232.37</c:v>
                </c:pt>
                <c:pt idx="473">
                  <c:v>46604.94</c:v>
                </c:pt>
                <c:pt idx="474">
                  <c:v>47554.34</c:v>
                </c:pt>
                <c:pt idx="475">
                  <c:v>47436.45</c:v>
                </c:pt>
                <c:pt idx="476">
                  <c:v>47322.97</c:v>
                </c:pt>
                <c:pt idx="477">
                  <c:v>47660.04</c:v>
                </c:pt>
                <c:pt idx="478">
                  <c:v>47656.639999999999</c:v>
                </c:pt>
                <c:pt idx="479">
                  <c:v>48154.65</c:v>
                </c:pt>
                <c:pt idx="480">
                  <c:v>48270.23</c:v>
                </c:pt>
                <c:pt idx="481">
                  <c:v>48366.69</c:v>
                </c:pt>
                <c:pt idx="482">
                  <c:v>48426.49</c:v>
                </c:pt>
                <c:pt idx="483">
                  <c:v>48365.14</c:v>
                </c:pt>
                <c:pt idx="484">
                  <c:v>48881.93</c:v>
                </c:pt>
                <c:pt idx="485">
                  <c:v>48881.93</c:v>
                </c:pt>
                <c:pt idx="486">
                  <c:v>48853.54</c:v>
                </c:pt>
                <c:pt idx="487">
                  <c:v>48988.04</c:v>
                </c:pt>
                <c:pt idx="488">
                  <c:v>49233.02</c:v>
                </c:pt>
                <c:pt idx="489">
                  <c:v>49316.29</c:v>
                </c:pt>
                <c:pt idx="490">
                  <c:v>49414.96</c:v>
                </c:pt>
                <c:pt idx="491">
                  <c:v>49416.18</c:v>
                </c:pt>
                <c:pt idx="492">
                  <c:v>49475.43</c:v>
                </c:pt>
                <c:pt idx="493">
                  <c:v>49499.43</c:v>
                </c:pt>
                <c:pt idx="494">
                  <c:v>49706.09</c:v>
                </c:pt>
                <c:pt idx="495">
                  <c:v>49934.6</c:v>
                </c:pt>
                <c:pt idx="496">
                  <c:v>50300</c:v>
                </c:pt>
                <c:pt idx="497">
                  <c:v>51251.06</c:v>
                </c:pt>
                <c:pt idx="498">
                  <c:v>51595.66</c:v>
                </c:pt>
                <c:pt idx="499">
                  <c:v>51657.56</c:v>
                </c:pt>
                <c:pt idx="500">
                  <c:v>50868.52</c:v>
                </c:pt>
                <c:pt idx="501">
                  <c:v>51222.94</c:v>
                </c:pt>
                <c:pt idx="502">
                  <c:v>51693.08</c:v>
                </c:pt>
                <c:pt idx="503">
                  <c:v>51446.6</c:v>
                </c:pt>
                <c:pt idx="504">
                  <c:v>51729.87</c:v>
                </c:pt>
                <c:pt idx="505">
                  <c:v>52048.85</c:v>
                </c:pt>
                <c:pt idx="506">
                  <c:v>52512.480000000003</c:v>
                </c:pt>
                <c:pt idx="507">
                  <c:v>52348.82</c:v>
                </c:pt>
                <c:pt idx="508">
                  <c:v>52701.31</c:v>
                </c:pt>
                <c:pt idx="509">
                  <c:v>52615.51</c:v>
                </c:pt>
                <c:pt idx="510">
                  <c:v>52626.42</c:v>
                </c:pt>
                <c:pt idx="511">
                  <c:v>52594.68</c:v>
                </c:pt>
                <c:pt idx="512">
                  <c:v>52657.69</c:v>
                </c:pt>
                <c:pt idx="513">
                  <c:v>52612.55</c:v>
                </c:pt>
                <c:pt idx="514">
                  <c:v>52599.65</c:v>
                </c:pt>
                <c:pt idx="515">
                  <c:v>52657.88</c:v>
                </c:pt>
                <c:pt idx="516">
                  <c:v>52657.88</c:v>
                </c:pt>
                <c:pt idx="517">
                  <c:v>53157.83</c:v>
                </c:pt>
                <c:pt idx="518">
                  <c:v>53238.67</c:v>
                </c:pt>
                <c:pt idx="519">
                  <c:v>53499.68</c:v>
                </c:pt>
                <c:pt idx="520">
                  <c:v>53998.12</c:v>
                </c:pt>
                <c:pt idx="521">
                  <c:v>54213.09</c:v>
                </c:pt>
                <c:pt idx="522">
                  <c:v>54367.74</c:v>
                </c:pt>
                <c:pt idx="523">
                  <c:v>54299.76</c:v>
                </c:pt>
                <c:pt idx="524">
                  <c:v>54427.05</c:v>
                </c:pt>
                <c:pt idx="525">
                  <c:v>54359.9</c:v>
                </c:pt>
                <c:pt idx="526">
                  <c:v>54327.3</c:v>
                </c:pt>
                <c:pt idx="527">
                  <c:v>54364.67</c:v>
                </c:pt>
                <c:pt idx="528">
                  <c:v>54496.31</c:v>
                </c:pt>
                <c:pt idx="529">
                  <c:v>54507.66</c:v>
                </c:pt>
                <c:pt idx="530">
                  <c:v>54520.2</c:v>
                </c:pt>
                <c:pt idx="531">
                  <c:v>53804.46</c:v>
                </c:pt>
                <c:pt idx="532">
                  <c:v>54224.35</c:v>
                </c:pt>
                <c:pt idx="533">
                  <c:v>54189.31</c:v>
                </c:pt>
                <c:pt idx="534">
                  <c:v>54315.53</c:v>
                </c:pt>
                <c:pt idx="535">
                  <c:v>54646.38</c:v>
                </c:pt>
                <c:pt idx="536">
                  <c:v>54949.33</c:v>
                </c:pt>
                <c:pt idx="537">
                  <c:v>55328.42</c:v>
                </c:pt>
                <c:pt idx="538">
                  <c:v>55806.26</c:v>
                </c:pt>
                <c:pt idx="539">
                  <c:v>55508.61</c:v>
                </c:pt>
                <c:pt idx="540">
                  <c:v>55670.239999999998</c:v>
                </c:pt>
                <c:pt idx="541">
                  <c:v>55529.21</c:v>
                </c:pt>
                <c:pt idx="542">
                  <c:v>55605.57</c:v>
                </c:pt>
                <c:pt idx="543">
                  <c:v>55603.94</c:v>
                </c:pt>
                <c:pt idx="544">
                  <c:v>55801.14</c:v>
                </c:pt>
                <c:pt idx="545">
                  <c:v>55822.14</c:v>
                </c:pt>
                <c:pt idx="546">
                  <c:v>55822.14</c:v>
                </c:pt>
                <c:pt idx="547">
                  <c:v>55794.51</c:v>
                </c:pt>
                <c:pt idx="548">
                  <c:v>55788.37</c:v>
                </c:pt>
                <c:pt idx="549">
                  <c:v>55722.9</c:v>
                </c:pt>
                <c:pt idx="550">
                  <c:v>55490.2</c:v>
                </c:pt>
                <c:pt idx="551">
                  <c:v>54915.61</c:v>
                </c:pt>
                <c:pt idx="552">
                  <c:v>54915.39</c:v>
                </c:pt>
                <c:pt idx="553">
                  <c:v>54886.04</c:v>
                </c:pt>
                <c:pt idx="554">
                  <c:v>54904.68</c:v>
                </c:pt>
                <c:pt idx="555">
                  <c:v>54936</c:v>
                </c:pt>
                <c:pt idx="556">
                  <c:v>54922.57</c:v>
                </c:pt>
                <c:pt idx="557">
                  <c:v>54892.53</c:v>
                </c:pt>
                <c:pt idx="558">
                  <c:v>53754.400000000001</c:v>
                </c:pt>
                <c:pt idx="559">
                  <c:v>53124.63</c:v>
                </c:pt>
                <c:pt idx="560">
                  <c:v>53603.8</c:v>
                </c:pt>
                <c:pt idx="561">
                  <c:v>54413.21</c:v>
                </c:pt>
                <c:pt idx="562">
                  <c:v>54857.96</c:v>
                </c:pt>
                <c:pt idx="563">
                  <c:v>54193.32</c:v>
                </c:pt>
                <c:pt idx="564">
                  <c:v>54089.73</c:v>
                </c:pt>
                <c:pt idx="565">
                  <c:v>53018.97</c:v>
                </c:pt>
                <c:pt idx="566">
                  <c:v>52994.13</c:v>
                </c:pt>
                <c:pt idx="567">
                  <c:v>51952.99</c:v>
                </c:pt>
                <c:pt idx="568">
                  <c:v>51953.51</c:v>
                </c:pt>
                <c:pt idx="569">
                  <c:v>51944.58</c:v>
                </c:pt>
                <c:pt idx="570">
                  <c:v>51893.94</c:v>
                </c:pt>
                <c:pt idx="571">
                  <c:v>51120.94</c:v>
                </c:pt>
                <c:pt idx="572">
                  <c:v>51134.85</c:v>
                </c:pt>
                <c:pt idx="573">
                  <c:v>51178.41</c:v>
                </c:pt>
                <c:pt idx="574">
                  <c:v>51028.62</c:v>
                </c:pt>
                <c:pt idx="575">
                  <c:v>51681.01</c:v>
                </c:pt>
                <c:pt idx="576">
                  <c:v>52097.62</c:v>
                </c:pt>
                <c:pt idx="577">
                  <c:v>52097.62</c:v>
                </c:pt>
                <c:pt idx="578">
                  <c:v>52403.51</c:v>
                </c:pt>
                <c:pt idx="579">
                  <c:v>52296.480000000003</c:v>
                </c:pt>
                <c:pt idx="580">
                  <c:v>52207.77</c:v>
                </c:pt>
                <c:pt idx="581">
                  <c:v>52290.75</c:v>
                </c:pt>
              </c:numCache>
            </c:numRef>
          </c:val>
          <c:smooth val="1"/>
          <c:extLst>
            <c:ext xmlns:c16="http://schemas.microsoft.com/office/drawing/2014/chart" uri="{C3380CC4-5D6E-409C-BE32-E72D297353CC}">
              <c16:uniqueId val="{00000000-D61A-493F-A61A-C345F6D3B746}"/>
            </c:ext>
          </c:extLst>
        </c:ser>
        <c:dLbls>
          <c:showLegendKey val="0"/>
          <c:showVal val="0"/>
          <c:showCatName val="0"/>
          <c:showSerName val="0"/>
          <c:showPercent val="0"/>
          <c:showBubbleSize val="0"/>
        </c:dLbls>
        <c:smooth val="0"/>
        <c:axId val="1212671055"/>
        <c:axId val="1212667215"/>
      </c:lineChart>
      <c:dateAx>
        <c:axId val="1212671055"/>
        <c:scaling>
          <c:orientation val="minMax"/>
          <c:max val="45046"/>
          <c:min val="44316"/>
        </c:scaling>
        <c:delete val="0"/>
        <c:axPos val="b"/>
        <c:numFmt formatCode="[$-409]d\-mmm\-yy;@"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212667215"/>
        <c:crosses val="autoZero"/>
        <c:auto val="1"/>
        <c:lblOffset val="100"/>
        <c:baseTimeUnit val="days"/>
        <c:majorUnit val="1"/>
        <c:majorTimeUnit val="months"/>
        <c:minorUnit val="3"/>
        <c:minorTimeUnit val="days"/>
      </c:dateAx>
      <c:valAx>
        <c:axId val="1212667215"/>
        <c:scaling>
          <c:orientation val="minMax"/>
          <c:min val="37000"/>
        </c:scaling>
        <c:delete val="0"/>
        <c:axPos val="l"/>
        <c:numFmt formatCode="_-* #,##0.00_-;\-* #,##0.0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50" b="1" i="0" u="none" strike="noStrike" kern="1200" baseline="0">
                <a:solidFill>
                  <a:schemeClr val="tx1">
                    <a:lumMod val="65000"/>
                    <a:lumOff val="35000"/>
                  </a:schemeClr>
                </a:solidFill>
                <a:latin typeface="+mn-lt"/>
                <a:ea typeface="+mn-ea"/>
                <a:cs typeface="+mn-cs"/>
              </a:defRPr>
            </a:pPr>
            <a:endParaRPr lang="en-US"/>
          </a:p>
        </c:txPr>
        <c:crossAx val="1212671055"/>
        <c:crosses val="autoZero"/>
        <c:crossBetween val="between"/>
      </c:valAx>
      <c:spPr>
        <a:solidFill>
          <a:schemeClr val="bg1">
            <a:lumMod val="85000"/>
            <a:alpha val="14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1">
          <a:latin typeface="+mn-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C00000"/>
                </a:solidFill>
                <a:latin typeface="Candara" panose="020E0502030303020204" pitchFamily="34" charset="0"/>
                <a:ea typeface="+mn-ea"/>
                <a:cs typeface="+mn-cs"/>
              </a:defRPr>
            </a:pPr>
            <a:r>
              <a:rPr lang="en-US">
                <a:solidFill>
                  <a:srgbClr val="C00000"/>
                </a:solidFill>
              </a:rPr>
              <a:t>Top 10 Losers</a:t>
            </a:r>
          </a:p>
        </c:rich>
      </c:tx>
      <c:layout>
        <c:manualLayout>
          <c:xMode val="edge"/>
          <c:yMode val="edge"/>
          <c:x val="0.34684851273414419"/>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C00000"/>
              </a:solidFill>
              <a:latin typeface="Candara" panose="020E0502030303020204" pitchFamily="34" charset="0"/>
              <a:ea typeface="+mn-ea"/>
              <a:cs typeface="+mn-cs"/>
            </a:defRPr>
          </a:pPr>
          <a:endParaRPr lang="en-US"/>
        </a:p>
      </c:txPr>
    </c:title>
    <c:autoTitleDeleted val="0"/>
    <c:plotArea>
      <c:layout/>
      <c:barChart>
        <c:barDir val="col"/>
        <c:grouping val="clustered"/>
        <c:varyColors val="0"/>
        <c:ser>
          <c:idx val="0"/>
          <c:order val="0"/>
          <c:spPr>
            <a:solidFill>
              <a:srgbClr val="C00000"/>
            </a:solidFill>
            <a:ln>
              <a:noFill/>
            </a:ln>
            <a:effectLst/>
          </c:spPr>
          <c:invertIfNegative val="0"/>
          <c:cat>
            <c:strRef>
              <c:f>Loosers!$A$1:$A$10</c:f>
              <c:strCache>
                <c:ptCount val="10"/>
                <c:pt idx="0">
                  <c:v>AIRTELAF</c:v>
                </c:pt>
                <c:pt idx="1">
                  <c:v>MTNN</c:v>
                </c:pt>
                <c:pt idx="2">
                  <c:v>NB </c:v>
                </c:pt>
                <c:pt idx="3">
                  <c:v>UACN</c:v>
                </c:pt>
                <c:pt idx="4">
                  <c:v>CHAMPION </c:v>
                </c:pt>
                <c:pt idx="5">
                  <c:v>VITAFOAM </c:v>
                </c:pt>
                <c:pt idx="6">
                  <c:v>ETERNA </c:v>
                </c:pt>
                <c:pt idx="7">
                  <c:v>GTCO</c:v>
                </c:pt>
                <c:pt idx="8">
                  <c:v>MULTIVER </c:v>
                </c:pt>
                <c:pt idx="9">
                  <c:v>MAYBAKER</c:v>
                </c:pt>
              </c:strCache>
            </c:strRef>
          </c:cat>
          <c:val>
            <c:numRef>
              <c:f>Loosers!$B$1:$B$10</c:f>
              <c:numCache>
                <c:formatCode>0.00</c:formatCode>
                <c:ptCount val="10"/>
                <c:pt idx="0">
                  <c:v>-229</c:v>
                </c:pt>
                <c:pt idx="1">
                  <c:v>-11.3</c:v>
                </c:pt>
                <c:pt idx="2">
                  <c:v>-5</c:v>
                </c:pt>
                <c:pt idx="3">
                  <c:v>-1.55</c:v>
                </c:pt>
                <c:pt idx="4">
                  <c:v>-1.18</c:v>
                </c:pt>
                <c:pt idx="5">
                  <c:v>-1.1000000000000001</c:v>
                </c:pt>
                <c:pt idx="6">
                  <c:v>-0.76946999999999999</c:v>
                </c:pt>
                <c:pt idx="7">
                  <c:v>-0.65</c:v>
                </c:pt>
                <c:pt idx="8">
                  <c:v>-0.46</c:v>
                </c:pt>
                <c:pt idx="9">
                  <c:v>-0.45</c:v>
                </c:pt>
              </c:numCache>
            </c:numRef>
          </c:val>
          <c:extLst>
            <c:ext xmlns:c16="http://schemas.microsoft.com/office/drawing/2014/chart" uri="{C3380CC4-5D6E-409C-BE32-E72D297353CC}">
              <c16:uniqueId val="{00000000-4E8B-4287-9C3C-3B4D62C981F5}"/>
            </c:ext>
          </c:extLst>
        </c:ser>
        <c:dLbls>
          <c:showLegendKey val="0"/>
          <c:showVal val="0"/>
          <c:showCatName val="0"/>
          <c:showSerName val="0"/>
          <c:showPercent val="0"/>
          <c:showBubbleSize val="0"/>
        </c:dLbls>
        <c:gapWidth val="219"/>
        <c:overlap val="-27"/>
        <c:axId val="1236067615"/>
        <c:axId val="1236056575"/>
      </c:barChart>
      <c:catAx>
        <c:axId val="1236067615"/>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solidFill>
                <a:latin typeface="Candara" panose="020E0502030303020204" pitchFamily="34" charset="0"/>
                <a:ea typeface="+mn-ea"/>
                <a:cs typeface="+mn-cs"/>
              </a:defRPr>
            </a:pPr>
            <a:endParaRPr lang="en-US"/>
          </a:p>
        </c:txPr>
        <c:crossAx val="1236056575"/>
        <c:crosses val="autoZero"/>
        <c:auto val="1"/>
        <c:lblAlgn val="ctr"/>
        <c:lblOffset val="100"/>
        <c:noMultiLvlLbl val="0"/>
      </c:catAx>
      <c:valAx>
        <c:axId val="1236056575"/>
        <c:scaling>
          <c:orientation val="minMax"/>
        </c:scaling>
        <c:delete val="0"/>
        <c:axPos val="l"/>
        <c:numFmt formatCode="0.00_);[Red]\(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Candara" panose="020E0502030303020204" pitchFamily="34" charset="0"/>
                <a:ea typeface="+mn-ea"/>
                <a:cs typeface="+mn-cs"/>
              </a:defRPr>
            </a:pPr>
            <a:endParaRPr lang="en-US"/>
          </a:p>
        </c:txPr>
        <c:crossAx val="1236067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Candara" panose="020E0502030303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00B050"/>
                </a:solidFill>
                <a:latin typeface="Candara" panose="020E0502030303020204" pitchFamily="34" charset="0"/>
                <a:ea typeface="+mn-ea"/>
                <a:cs typeface="+mn-cs"/>
              </a:defRPr>
            </a:pPr>
            <a:r>
              <a:rPr lang="en-US">
                <a:solidFill>
                  <a:srgbClr val="00B050"/>
                </a:solidFill>
              </a:rPr>
              <a:t>Top 10 Gainers</a:t>
            </a:r>
          </a:p>
        </c:rich>
      </c:tx>
      <c:layout>
        <c:manualLayout>
          <c:xMode val="edge"/>
          <c:yMode val="edge"/>
          <c:x val="0.43473336866545526"/>
          <c:y val="8.8516567008071374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00B050"/>
              </a:solidFill>
              <a:latin typeface="Candara" panose="020E0502030303020204" pitchFamily="34" charset="0"/>
              <a:ea typeface="+mn-ea"/>
              <a:cs typeface="+mn-cs"/>
            </a:defRPr>
          </a:pPr>
          <a:endParaRPr lang="en-US"/>
        </a:p>
      </c:txPr>
    </c:title>
    <c:autoTitleDeleted val="0"/>
    <c:plotArea>
      <c:layout/>
      <c:barChart>
        <c:barDir val="col"/>
        <c:grouping val="clustered"/>
        <c:varyColors val="0"/>
        <c:ser>
          <c:idx val="0"/>
          <c:order val="0"/>
          <c:spPr>
            <a:solidFill>
              <a:srgbClr val="00B050"/>
            </a:solidFill>
            <a:ln>
              <a:noFill/>
            </a:ln>
            <a:effectLst/>
          </c:spPr>
          <c:invertIfNegative val="0"/>
          <c:cat>
            <c:strRef>
              <c:f>Gainers!$A$1:$A$10</c:f>
              <c:strCache>
                <c:ptCount val="10"/>
                <c:pt idx="0">
                  <c:v>SEPLAT </c:v>
                </c:pt>
                <c:pt idx="1">
                  <c:v>TOTAL </c:v>
                </c:pt>
                <c:pt idx="2">
                  <c:v>BUAFOODS </c:v>
                </c:pt>
                <c:pt idx="3">
                  <c:v>SFSREIT </c:v>
                </c:pt>
                <c:pt idx="4">
                  <c:v>NAHCO </c:v>
                </c:pt>
                <c:pt idx="5">
                  <c:v>DANGSUGA </c:v>
                </c:pt>
                <c:pt idx="6">
                  <c:v>CADBURY </c:v>
                </c:pt>
                <c:pt idx="7">
                  <c:v>CONOIL</c:v>
                </c:pt>
                <c:pt idx="8">
                  <c:v>PZ </c:v>
                </c:pt>
                <c:pt idx="9">
                  <c:v>NASCON </c:v>
                </c:pt>
              </c:strCache>
            </c:strRef>
          </c:cat>
          <c:val>
            <c:numRef>
              <c:f>Gainers!$B$1:$B$10</c:f>
              <c:numCache>
                <c:formatCode>0.00</c:formatCode>
                <c:ptCount val="10"/>
                <c:pt idx="0">
                  <c:v>22.26</c:v>
                </c:pt>
                <c:pt idx="1">
                  <c:v>19.7</c:v>
                </c:pt>
                <c:pt idx="2">
                  <c:v>12</c:v>
                </c:pt>
                <c:pt idx="3">
                  <c:v>8.4499999999999993</c:v>
                </c:pt>
                <c:pt idx="4">
                  <c:v>3.85</c:v>
                </c:pt>
                <c:pt idx="5">
                  <c:v>2.5</c:v>
                </c:pt>
                <c:pt idx="6">
                  <c:v>2.2000000000000002</c:v>
                </c:pt>
                <c:pt idx="7">
                  <c:v>2</c:v>
                </c:pt>
                <c:pt idx="8">
                  <c:v>1.75</c:v>
                </c:pt>
                <c:pt idx="9">
                  <c:v>1.5</c:v>
                </c:pt>
              </c:numCache>
            </c:numRef>
          </c:val>
          <c:extLst>
            <c:ext xmlns:c16="http://schemas.microsoft.com/office/drawing/2014/chart" uri="{C3380CC4-5D6E-409C-BE32-E72D297353CC}">
              <c16:uniqueId val="{00000000-57CD-4296-AA45-945C397497BA}"/>
            </c:ext>
          </c:extLst>
        </c:ser>
        <c:dLbls>
          <c:showLegendKey val="0"/>
          <c:showVal val="0"/>
          <c:showCatName val="0"/>
          <c:showSerName val="0"/>
          <c:showPercent val="0"/>
          <c:showBubbleSize val="0"/>
        </c:dLbls>
        <c:gapWidth val="219"/>
        <c:overlap val="-27"/>
        <c:axId val="1198932079"/>
        <c:axId val="1198934479"/>
      </c:barChart>
      <c:catAx>
        <c:axId val="119893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solidFill>
                <a:latin typeface="Candara" panose="020E0502030303020204" pitchFamily="34" charset="0"/>
                <a:ea typeface="+mn-ea"/>
                <a:cs typeface="+mn-cs"/>
              </a:defRPr>
            </a:pPr>
            <a:endParaRPr lang="en-US"/>
          </a:p>
        </c:txPr>
        <c:crossAx val="1198934479"/>
        <c:crosses val="autoZero"/>
        <c:auto val="1"/>
        <c:lblAlgn val="ctr"/>
        <c:lblOffset val="100"/>
        <c:noMultiLvlLbl val="0"/>
      </c:catAx>
      <c:valAx>
        <c:axId val="1198934479"/>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Candara" panose="020E0502030303020204" pitchFamily="34" charset="0"/>
                <a:ea typeface="+mn-ea"/>
                <a:cs typeface="+mn-cs"/>
              </a:defRPr>
            </a:pPr>
            <a:endParaRPr lang="en-US"/>
          </a:p>
        </c:txPr>
        <c:crossAx val="11989320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Candara" panose="020E0502030303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F052A-EB1A-4F16-B236-CDA790D0C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1881</Words>
  <Characters>10723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Eronmosele Aziba</dc:creator>
  <cp:keywords/>
  <dc:description/>
  <cp:lastModifiedBy>Ilerioluwa Akinosun</cp:lastModifiedBy>
  <cp:revision>2</cp:revision>
  <cp:lastPrinted>2021-07-10T00:51:00Z</cp:lastPrinted>
  <dcterms:created xsi:type="dcterms:W3CDTF">2023-05-05T10:37:00Z</dcterms:created>
  <dcterms:modified xsi:type="dcterms:W3CDTF">2023-05-05T10:37:00Z</dcterms:modified>
</cp:coreProperties>
</file>